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0AF9" w:rsidRPr="008F7DA5" w:rsidRDefault="009A2CCB" w:rsidP="00792139">
      <w:pPr>
        <w:widowControl w:val="0"/>
        <w:rPr>
          <w:rFonts w:ascii="Times New Roman" w:hAnsi="Times New Roman" w:cs="Times New Roman"/>
          <w:sz w:val="24"/>
          <w:szCs w:val="24"/>
        </w:rPr>
      </w:pPr>
      <w:bookmarkStart w:id="0" w:name="_GoBack"/>
      <w:bookmarkEnd w:id="0"/>
      <w:r w:rsidRPr="008F7DA5">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D90AF9" w:rsidRPr="0078439E" w:rsidRDefault="00D90AF9" w:rsidP="00E76E02">
      <w:pPr>
        <w:jc w:val="right"/>
        <w:rPr>
          <w:rFonts w:ascii="Times New Roman" w:hAnsi="Times New Roman" w:cs="Times New Roman"/>
          <w:color w:val="365F91"/>
          <w:sz w:val="24"/>
          <w:szCs w:val="24"/>
        </w:rPr>
      </w:pPr>
    </w:p>
    <w:p w:rsidR="00EA0DED" w:rsidRPr="0078439E" w:rsidRDefault="00EA0DED" w:rsidP="0078439E">
      <w:pPr>
        <w:rPr>
          <w:rFonts w:ascii="Times New Roman" w:hAnsi="Times New Roman" w:cs="Times New Roman"/>
          <w:color w:val="365F91"/>
          <w:sz w:val="24"/>
          <w:szCs w:val="24"/>
        </w:rPr>
      </w:pPr>
    </w:p>
    <w:p w:rsidR="00EA0DED" w:rsidRPr="0078439E" w:rsidRDefault="00EA0DED" w:rsidP="0078439E">
      <w:pPr>
        <w:rPr>
          <w:rFonts w:ascii="Times New Roman" w:hAnsi="Times New Roman" w:cs="Times New Roman"/>
          <w:color w:val="365F91"/>
          <w:sz w:val="24"/>
          <w:szCs w:val="24"/>
        </w:rPr>
      </w:pPr>
    </w:p>
    <w:p w:rsidR="00EA0DED" w:rsidRPr="0078439E" w:rsidRDefault="00EA0DED" w:rsidP="0078439E">
      <w:pPr>
        <w:rPr>
          <w:rFonts w:ascii="Times New Roman" w:hAnsi="Times New Roman" w:cs="Times New Roman"/>
          <w:color w:val="365F91"/>
          <w:sz w:val="24"/>
          <w:szCs w:val="24"/>
        </w:rPr>
      </w:pPr>
    </w:p>
    <w:p w:rsidR="00112550" w:rsidRPr="008F7DA5" w:rsidRDefault="00112550" w:rsidP="0078439E">
      <w:pPr>
        <w:widowControl w:val="0"/>
        <w:jc w:val="center"/>
        <w:rPr>
          <w:rFonts w:ascii="Times New Roman" w:hAnsi="Times New Roman" w:cs="Times New Roman"/>
          <w:b/>
          <w:bCs/>
          <w:color w:val="000000"/>
          <w:sz w:val="24"/>
          <w:szCs w:val="24"/>
        </w:rPr>
      </w:pPr>
      <w:r w:rsidRPr="008F7DA5">
        <w:rPr>
          <w:rFonts w:ascii="Times New Roman" w:hAnsi="Times New Roman" w:cs="Times New Roman"/>
          <w:b/>
          <w:bCs/>
          <w:color w:val="000000"/>
          <w:sz w:val="24"/>
          <w:szCs w:val="24"/>
        </w:rPr>
        <w:t>Compliance Questionnaire and</w:t>
      </w:r>
    </w:p>
    <w:p w:rsidR="00112550" w:rsidRPr="008F7DA5" w:rsidRDefault="00112550" w:rsidP="0078439E">
      <w:pPr>
        <w:widowControl w:val="0"/>
        <w:jc w:val="center"/>
        <w:rPr>
          <w:rFonts w:ascii="Times New Roman" w:hAnsi="Times New Roman" w:cs="Times New Roman"/>
          <w:b/>
          <w:bCs/>
          <w:color w:val="000000"/>
          <w:sz w:val="24"/>
          <w:szCs w:val="24"/>
        </w:rPr>
      </w:pPr>
      <w:r w:rsidRPr="008F7DA5">
        <w:rPr>
          <w:rFonts w:ascii="Times New Roman" w:hAnsi="Times New Roman" w:cs="Times New Roman"/>
          <w:b/>
          <w:bCs/>
          <w:color w:val="000000"/>
          <w:sz w:val="24"/>
          <w:szCs w:val="24"/>
        </w:rPr>
        <w:t>Reliability Standard Audit Worksheet</w:t>
      </w:r>
    </w:p>
    <w:p w:rsidR="00112550" w:rsidRPr="0078439E" w:rsidRDefault="00112550" w:rsidP="0078439E">
      <w:pPr>
        <w:rPr>
          <w:rFonts w:ascii="Times New Roman" w:hAnsi="Times New Roman" w:cs="Times New Roman"/>
          <w:color w:val="365F91"/>
          <w:sz w:val="24"/>
          <w:szCs w:val="24"/>
        </w:rPr>
      </w:pPr>
    </w:p>
    <w:p w:rsidR="0087292E" w:rsidRDefault="0087292E" w:rsidP="0078439E">
      <w:pPr>
        <w:rPr>
          <w:rFonts w:ascii="Times New Roman" w:hAnsi="Times New Roman" w:cs="Times New Roman"/>
          <w:color w:val="365F91"/>
          <w:sz w:val="24"/>
          <w:szCs w:val="24"/>
        </w:rPr>
      </w:pPr>
    </w:p>
    <w:p w:rsidR="0060214B" w:rsidRPr="0078439E" w:rsidRDefault="0060214B" w:rsidP="0078439E">
      <w:pPr>
        <w:rPr>
          <w:rFonts w:ascii="Times New Roman" w:hAnsi="Times New Roman" w:cs="Times New Roman"/>
          <w:color w:val="365F91"/>
          <w:sz w:val="24"/>
          <w:szCs w:val="24"/>
        </w:rPr>
      </w:pPr>
    </w:p>
    <w:p w:rsidR="0087292E" w:rsidRPr="0078439E" w:rsidRDefault="0087292E" w:rsidP="0078439E">
      <w:pPr>
        <w:rPr>
          <w:rFonts w:ascii="Times New Roman" w:hAnsi="Times New Roman" w:cs="Times New Roman"/>
          <w:color w:val="365F91"/>
          <w:sz w:val="24"/>
          <w:szCs w:val="24"/>
        </w:rPr>
      </w:pPr>
    </w:p>
    <w:p w:rsidR="00112550" w:rsidRPr="008F7DA5" w:rsidRDefault="00112550" w:rsidP="0078439E">
      <w:pPr>
        <w:pStyle w:val="Default"/>
        <w:jc w:val="center"/>
      </w:pPr>
      <w:r w:rsidRPr="008F7DA5">
        <w:rPr>
          <w:b/>
        </w:rPr>
        <w:t>CIP</w:t>
      </w:r>
      <w:r w:rsidR="00475BC5" w:rsidRPr="008F7DA5">
        <w:rPr>
          <w:b/>
        </w:rPr>
        <w:t>-</w:t>
      </w:r>
      <w:r w:rsidRPr="008F7DA5">
        <w:rPr>
          <w:b/>
        </w:rPr>
        <w:t>002</w:t>
      </w:r>
      <w:r w:rsidR="00475BC5" w:rsidRPr="008F7DA5">
        <w:rPr>
          <w:b/>
        </w:rPr>
        <w:t>-</w:t>
      </w:r>
      <w:r w:rsidR="009F4FB8">
        <w:rPr>
          <w:b/>
        </w:rPr>
        <w:t>3</w:t>
      </w:r>
      <w:r w:rsidR="009F4FB8" w:rsidRPr="008F7DA5">
        <w:rPr>
          <w:b/>
          <w:bCs/>
        </w:rPr>
        <w:t xml:space="preserve"> </w:t>
      </w:r>
      <w:r w:rsidR="00475BC5" w:rsidRPr="008F7DA5">
        <w:rPr>
          <w:b/>
          <w:bCs/>
        </w:rPr>
        <w:t>—</w:t>
      </w:r>
      <w:r w:rsidRPr="008F7DA5">
        <w:rPr>
          <w:b/>
          <w:bCs/>
        </w:rPr>
        <w:t xml:space="preserve"> </w:t>
      </w:r>
      <w:r w:rsidRPr="008F7DA5">
        <w:rPr>
          <w:b/>
        </w:rPr>
        <w:t>Cyber Security — Critical Cyber Asset Identification</w:t>
      </w:r>
    </w:p>
    <w:p w:rsidR="00112550" w:rsidRPr="008F7DA5" w:rsidRDefault="00112550" w:rsidP="0078439E">
      <w:pPr>
        <w:widowControl w:val="0"/>
        <w:jc w:val="center"/>
        <w:rPr>
          <w:rFonts w:ascii="Times New Roman" w:hAnsi="Times New Roman" w:cs="Times New Roman"/>
          <w:sz w:val="24"/>
          <w:szCs w:val="24"/>
        </w:rPr>
      </w:pPr>
    </w:p>
    <w:p w:rsidR="00112550" w:rsidRDefault="00112550" w:rsidP="0078439E">
      <w:pPr>
        <w:widowControl w:val="0"/>
        <w:jc w:val="center"/>
        <w:rPr>
          <w:rFonts w:ascii="Times New Roman" w:hAnsi="Times New Roman" w:cs="Times New Roman"/>
          <w:sz w:val="24"/>
          <w:szCs w:val="24"/>
        </w:rPr>
      </w:pPr>
    </w:p>
    <w:p w:rsidR="0060214B" w:rsidRPr="008F7DA5" w:rsidRDefault="0060214B" w:rsidP="0078439E">
      <w:pPr>
        <w:widowControl w:val="0"/>
        <w:jc w:val="center"/>
        <w:rPr>
          <w:rFonts w:ascii="Times New Roman" w:hAnsi="Times New Roman" w:cs="Times New Roman"/>
          <w:sz w:val="24"/>
          <w:szCs w:val="24"/>
        </w:rPr>
      </w:pPr>
    </w:p>
    <w:p w:rsidR="0087292E" w:rsidRPr="0078439E" w:rsidRDefault="0087292E" w:rsidP="0078439E">
      <w:pPr>
        <w:rPr>
          <w:rFonts w:ascii="Times New Roman" w:hAnsi="Times New Roman" w:cs="Times New Roman"/>
          <w:color w:val="365F91"/>
          <w:sz w:val="24"/>
          <w:szCs w:val="24"/>
        </w:rPr>
      </w:pPr>
    </w:p>
    <w:p w:rsidR="00D90AF9" w:rsidRPr="008F7DA5" w:rsidRDefault="00D90AF9" w:rsidP="0078439E">
      <w:pPr>
        <w:widowControl w:val="0"/>
        <w:ind w:left="446"/>
        <w:rPr>
          <w:rFonts w:ascii="Times New Roman" w:hAnsi="Times New Roman" w:cs="Times New Roman"/>
          <w:i/>
          <w:iCs/>
          <w:color w:val="000000"/>
          <w:sz w:val="24"/>
          <w:szCs w:val="24"/>
        </w:rPr>
      </w:pPr>
      <w:r w:rsidRPr="008F7DA5">
        <w:rPr>
          <w:rFonts w:ascii="Times New Roman" w:hAnsi="Times New Roman" w:cs="Times New Roman"/>
          <w:b/>
          <w:bCs/>
          <w:color w:val="264D74"/>
          <w:sz w:val="24"/>
          <w:szCs w:val="24"/>
        </w:rPr>
        <w:t>Registered Entity:</w:t>
      </w:r>
      <w:r w:rsidRPr="008F7DA5">
        <w:rPr>
          <w:rFonts w:ascii="Times New Roman" w:hAnsi="Times New Roman" w:cs="Times New Roman"/>
          <w:b/>
          <w:bCs/>
          <w:color w:val="336699"/>
          <w:sz w:val="24"/>
          <w:szCs w:val="24"/>
        </w:rPr>
        <w:t xml:space="preserve"> </w:t>
      </w:r>
      <w:r w:rsidRPr="008F7DA5">
        <w:rPr>
          <w:rFonts w:ascii="Times New Roman" w:hAnsi="Times New Roman" w:cs="Times New Roman"/>
          <w:i/>
          <w:iCs/>
          <w:color w:val="000000"/>
          <w:sz w:val="24"/>
          <w:szCs w:val="24"/>
        </w:rPr>
        <w:t xml:space="preserve">(Must be completed by the </w:t>
      </w:r>
      <w:r w:rsidR="004D02AE" w:rsidRPr="008F7DA5">
        <w:rPr>
          <w:rFonts w:ascii="Times New Roman" w:hAnsi="Times New Roman" w:cs="Times New Roman"/>
          <w:i/>
          <w:iCs/>
          <w:color w:val="000000"/>
          <w:sz w:val="24"/>
          <w:szCs w:val="24"/>
        </w:rPr>
        <w:t>Compliance Enforcement Authority</w:t>
      </w:r>
      <w:r w:rsidRPr="008F7DA5">
        <w:rPr>
          <w:rFonts w:ascii="Times New Roman" w:hAnsi="Times New Roman" w:cs="Times New Roman"/>
          <w:i/>
          <w:iCs/>
          <w:color w:val="000000"/>
          <w:sz w:val="24"/>
          <w:szCs w:val="24"/>
        </w:rPr>
        <w:t>)</w:t>
      </w:r>
    </w:p>
    <w:p w:rsidR="00792139" w:rsidRDefault="00792139" w:rsidP="0078439E">
      <w:pPr>
        <w:widowControl w:val="0"/>
        <w:ind w:left="446"/>
        <w:rPr>
          <w:rFonts w:ascii="Times New Roman" w:hAnsi="Times New Roman" w:cs="Times New Roman"/>
          <w:b/>
          <w:bCs/>
          <w:color w:val="264D74"/>
          <w:sz w:val="24"/>
          <w:szCs w:val="24"/>
        </w:rPr>
      </w:pPr>
    </w:p>
    <w:p w:rsidR="00D90AF9" w:rsidRPr="008F7DA5" w:rsidRDefault="00D90AF9" w:rsidP="0078439E">
      <w:pPr>
        <w:widowControl w:val="0"/>
        <w:ind w:left="446"/>
        <w:rPr>
          <w:rFonts w:ascii="Times New Roman" w:hAnsi="Times New Roman" w:cs="Times New Roman"/>
          <w:i/>
          <w:iCs/>
          <w:color w:val="000000"/>
          <w:sz w:val="24"/>
          <w:szCs w:val="24"/>
        </w:rPr>
      </w:pPr>
      <w:r w:rsidRPr="008F7DA5">
        <w:rPr>
          <w:rFonts w:ascii="Times New Roman" w:hAnsi="Times New Roman" w:cs="Times New Roman"/>
          <w:b/>
          <w:bCs/>
          <w:color w:val="264D74"/>
          <w:sz w:val="24"/>
          <w:szCs w:val="24"/>
        </w:rPr>
        <w:t>NCR Number:</w:t>
      </w:r>
      <w:r w:rsidRPr="008F7DA5">
        <w:rPr>
          <w:rFonts w:ascii="Times New Roman" w:hAnsi="Times New Roman" w:cs="Times New Roman"/>
          <w:b/>
          <w:bCs/>
          <w:color w:val="336699"/>
          <w:sz w:val="24"/>
          <w:szCs w:val="24"/>
        </w:rPr>
        <w:t xml:space="preserve"> </w:t>
      </w:r>
      <w:r w:rsidRPr="008F7DA5">
        <w:rPr>
          <w:rFonts w:ascii="Times New Roman" w:hAnsi="Times New Roman" w:cs="Times New Roman"/>
          <w:i/>
          <w:iCs/>
          <w:color w:val="000000"/>
          <w:sz w:val="24"/>
          <w:szCs w:val="24"/>
        </w:rPr>
        <w:t xml:space="preserve">(Must be completed by the </w:t>
      </w:r>
      <w:r w:rsidR="004D02AE" w:rsidRPr="008F7DA5">
        <w:rPr>
          <w:rFonts w:ascii="Times New Roman" w:hAnsi="Times New Roman" w:cs="Times New Roman"/>
          <w:i/>
          <w:iCs/>
          <w:color w:val="000000"/>
          <w:sz w:val="24"/>
          <w:szCs w:val="24"/>
        </w:rPr>
        <w:t>Compliance Enforcement Authority)</w:t>
      </w:r>
    </w:p>
    <w:p w:rsidR="00792139" w:rsidRDefault="00792139" w:rsidP="0078439E">
      <w:pPr>
        <w:widowControl w:val="0"/>
        <w:ind w:left="446"/>
        <w:rPr>
          <w:rFonts w:ascii="Times New Roman" w:hAnsi="Times New Roman" w:cs="Times New Roman"/>
          <w:b/>
          <w:bCs/>
          <w:color w:val="264D74"/>
          <w:sz w:val="24"/>
          <w:szCs w:val="24"/>
        </w:rPr>
      </w:pPr>
    </w:p>
    <w:p w:rsidR="00723B8A" w:rsidRPr="008F7DA5" w:rsidRDefault="00D90AF9" w:rsidP="0078439E">
      <w:pPr>
        <w:widowControl w:val="0"/>
        <w:ind w:left="446"/>
        <w:rPr>
          <w:rFonts w:ascii="Times New Roman" w:hAnsi="Times New Roman" w:cs="Times New Roman"/>
          <w:b/>
          <w:bCs/>
          <w:color w:val="264D74"/>
          <w:sz w:val="24"/>
          <w:szCs w:val="24"/>
        </w:rPr>
      </w:pPr>
      <w:r w:rsidRPr="008F7DA5">
        <w:rPr>
          <w:rFonts w:ascii="Times New Roman" w:hAnsi="Times New Roman" w:cs="Times New Roman"/>
          <w:b/>
          <w:bCs/>
          <w:color w:val="264D74"/>
          <w:sz w:val="24"/>
          <w:szCs w:val="24"/>
        </w:rPr>
        <w:t>Applicab</w:t>
      </w:r>
      <w:r w:rsidR="00B627B7" w:rsidRPr="008F7DA5">
        <w:rPr>
          <w:rFonts w:ascii="Times New Roman" w:hAnsi="Times New Roman" w:cs="Times New Roman"/>
          <w:b/>
          <w:bCs/>
          <w:color w:val="264D74"/>
          <w:sz w:val="24"/>
          <w:szCs w:val="24"/>
        </w:rPr>
        <w:t>ility</w:t>
      </w:r>
      <w:r w:rsidRPr="008F7DA5">
        <w:rPr>
          <w:rFonts w:ascii="Times New Roman" w:hAnsi="Times New Roman" w:cs="Times New Roman"/>
          <w:b/>
          <w:bCs/>
          <w:color w:val="264D74"/>
          <w:sz w:val="24"/>
          <w:szCs w:val="24"/>
        </w:rPr>
        <w:t>:</w:t>
      </w:r>
      <w:r w:rsidR="00B627B7" w:rsidRPr="008F7DA5">
        <w:rPr>
          <w:rFonts w:ascii="Times New Roman" w:hAnsi="Times New Roman" w:cs="Times New Roman"/>
          <w:b/>
          <w:bCs/>
          <w:color w:val="264D74"/>
          <w:sz w:val="24"/>
          <w:szCs w:val="24"/>
        </w:rPr>
        <w:t xml:space="preserve"> </w:t>
      </w:r>
      <w:r w:rsidR="00485F96">
        <w:rPr>
          <w:rFonts w:ascii="Times New Roman" w:hAnsi="Times New Roman" w:cs="Times New Roman"/>
          <w:b/>
          <w:bCs/>
          <w:color w:val="264D74"/>
          <w:sz w:val="24"/>
          <w:szCs w:val="24"/>
        </w:rPr>
        <w:t xml:space="preserve"> </w:t>
      </w:r>
      <w:r w:rsidR="004101D3" w:rsidRPr="008F7DA5">
        <w:rPr>
          <w:rFonts w:ascii="Times New Roman" w:hAnsi="Times New Roman" w:cs="Times New Roman"/>
          <w:b/>
          <w:bCs/>
          <w:sz w:val="24"/>
          <w:szCs w:val="24"/>
        </w:rPr>
        <w:t>RC,</w:t>
      </w:r>
      <w:r w:rsidR="00485F96">
        <w:rPr>
          <w:rFonts w:ascii="Times New Roman" w:hAnsi="Times New Roman" w:cs="Times New Roman"/>
          <w:b/>
          <w:bCs/>
          <w:color w:val="264D74"/>
          <w:sz w:val="24"/>
          <w:szCs w:val="24"/>
        </w:rPr>
        <w:t xml:space="preserve"> </w:t>
      </w:r>
      <w:r w:rsidR="00B7057D" w:rsidRPr="008F7DA5">
        <w:rPr>
          <w:rFonts w:ascii="Times New Roman" w:hAnsi="Times New Roman" w:cs="Times New Roman"/>
          <w:b/>
          <w:bCs/>
          <w:color w:val="000000"/>
          <w:sz w:val="24"/>
          <w:szCs w:val="24"/>
        </w:rPr>
        <w:t>BA</w:t>
      </w:r>
      <w:r w:rsidR="00C57B75" w:rsidRPr="008F7DA5">
        <w:rPr>
          <w:rFonts w:ascii="Times New Roman" w:hAnsi="Times New Roman" w:cs="Times New Roman"/>
          <w:b/>
          <w:bCs/>
          <w:color w:val="000000"/>
          <w:sz w:val="24"/>
          <w:szCs w:val="24"/>
        </w:rPr>
        <w:t xml:space="preserve">, IA, </w:t>
      </w:r>
      <w:r w:rsidR="00485F96">
        <w:rPr>
          <w:rFonts w:ascii="Times New Roman" w:hAnsi="Times New Roman" w:cs="Times New Roman"/>
          <w:b/>
          <w:bCs/>
          <w:color w:val="000000"/>
          <w:sz w:val="24"/>
          <w:szCs w:val="24"/>
        </w:rPr>
        <w:t xml:space="preserve">TSP, TO, TOP, GO, GOP, LSE, </w:t>
      </w:r>
      <w:r w:rsidR="00C57B75" w:rsidRPr="008F7DA5">
        <w:rPr>
          <w:rFonts w:ascii="Times New Roman" w:hAnsi="Times New Roman" w:cs="Times New Roman"/>
          <w:b/>
          <w:bCs/>
          <w:color w:val="000000"/>
          <w:sz w:val="24"/>
          <w:szCs w:val="24"/>
        </w:rPr>
        <w:t xml:space="preserve">NERC, </w:t>
      </w:r>
      <w:r w:rsidR="000008D1">
        <w:rPr>
          <w:rFonts w:ascii="Times New Roman" w:hAnsi="Times New Roman" w:cs="Times New Roman"/>
          <w:b/>
          <w:bCs/>
          <w:color w:val="000000"/>
          <w:sz w:val="24"/>
          <w:szCs w:val="24"/>
        </w:rPr>
        <w:t>RE</w:t>
      </w:r>
    </w:p>
    <w:p w:rsidR="00792139" w:rsidRDefault="00792139" w:rsidP="0078439E">
      <w:pPr>
        <w:widowControl w:val="0"/>
        <w:ind w:left="446"/>
        <w:rPr>
          <w:rFonts w:ascii="Times New Roman" w:hAnsi="Times New Roman" w:cs="Times New Roman"/>
          <w:b/>
          <w:color w:val="17365D"/>
          <w:sz w:val="24"/>
          <w:szCs w:val="24"/>
        </w:rPr>
      </w:pPr>
    </w:p>
    <w:p w:rsidR="00F226F6" w:rsidRDefault="00F226F6" w:rsidP="0078439E">
      <w:pPr>
        <w:widowControl w:val="0"/>
        <w:ind w:left="446"/>
        <w:rPr>
          <w:b/>
          <w:bCs/>
          <w:color w:val="264D74"/>
          <w:sz w:val="24"/>
          <w:szCs w:val="24"/>
        </w:rPr>
      </w:pPr>
      <w:r>
        <w:rPr>
          <w:rFonts w:ascii="Times New Roman" w:hAnsi="Times New Roman" w:cs="Times New Roman"/>
          <w:b/>
          <w:color w:val="17365D"/>
          <w:sz w:val="24"/>
          <w:szCs w:val="24"/>
        </w:rPr>
        <w:t>Auditors:</w:t>
      </w:r>
      <w:r>
        <w:rPr>
          <w:rFonts w:ascii="Times New Roman" w:hAnsi="Times New Roman" w:cs="Times New Roman"/>
          <w:b/>
          <w:sz w:val="24"/>
          <w:szCs w:val="24"/>
        </w:rPr>
        <w:tab/>
      </w:r>
    </w:p>
    <w:p w:rsidR="00723B8A" w:rsidRPr="0078439E" w:rsidRDefault="00723B8A" w:rsidP="0078439E">
      <w:pPr>
        <w:rPr>
          <w:rFonts w:ascii="Times New Roman" w:hAnsi="Times New Roman" w:cs="Times New Roman"/>
          <w:color w:val="365F91"/>
          <w:sz w:val="24"/>
          <w:szCs w:val="24"/>
        </w:rPr>
      </w:pPr>
    </w:p>
    <w:p w:rsidR="00723B8A" w:rsidRPr="0078439E" w:rsidRDefault="00723B8A" w:rsidP="0078439E">
      <w:pPr>
        <w:rPr>
          <w:rFonts w:ascii="Times New Roman" w:hAnsi="Times New Roman" w:cs="Times New Roman"/>
          <w:color w:val="365F91"/>
          <w:sz w:val="24"/>
          <w:szCs w:val="24"/>
        </w:rPr>
      </w:pPr>
    </w:p>
    <w:p w:rsidR="00D90AF9" w:rsidRPr="0078439E" w:rsidRDefault="00D90AF9" w:rsidP="0078439E">
      <w:pPr>
        <w:rPr>
          <w:rFonts w:ascii="Times New Roman" w:hAnsi="Times New Roman" w:cs="Times New Roman"/>
          <w:color w:val="365F91"/>
          <w:sz w:val="24"/>
          <w:szCs w:val="24"/>
        </w:rPr>
      </w:pPr>
      <w:r w:rsidRPr="008F7DA5">
        <w:rPr>
          <w:rFonts w:ascii="Times New Roman" w:hAnsi="Times New Roman" w:cs="Times New Roman"/>
          <w:sz w:val="24"/>
          <w:szCs w:val="24"/>
        </w:rPr>
        <w:br w:type="page"/>
      </w:r>
    </w:p>
    <w:p w:rsidR="0087292E" w:rsidRPr="0078439E" w:rsidRDefault="0087292E" w:rsidP="0078439E">
      <w:pPr>
        <w:rPr>
          <w:rFonts w:ascii="Times New Roman" w:hAnsi="Times New Roman" w:cs="Times New Roman"/>
          <w:color w:val="365F91"/>
          <w:sz w:val="24"/>
          <w:szCs w:val="24"/>
        </w:rPr>
      </w:pPr>
    </w:p>
    <w:p w:rsidR="007134A4" w:rsidRPr="008F7DA5" w:rsidRDefault="007134A4" w:rsidP="0078439E">
      <w:pPr>
        <w:widowControl w:val="0"/>
        <w:rPr>
          <w:rFonts w:ascii="Times New Roman" w:hAnsi="Times New Roman" w:cs="Times New Roman"/>
          <w:b/>
          <w:bCs/>
          <w:color w:val="003366"/>
          <w:sz w:val="24"/>
          <w:szCs w:val="24"/>
        </w:rPr>
      </w:pPr>
      <w:r w:rsidRPr="008F7DA5">
        <w:rPr>
          <w:rFonts w:ascii="Times New Roman" w:hAnsi="Times New Roman" w:cs="Times New Roman"/>
          <w:b/>
          <w:bCs/>
          <w:color w:val="003366"/>
          <w:sz w:val="24"/>
          <w:szCs w:val="24"/>
        </w:rPr>
        <w:t>Disclaimer</w:t>
      </w:r>
    </w:p>
    <w:p w:rsidR="007134A4" w:rsidRPr="008F7DA5" w:rsidRDefault="007134A4" w:rsidP="0078439E">
      <w:pPr>
        <w:widowControl w:val="0"/>
        <w:rPr>
          <w:rFonts w:ascii="Times New Roman" w:hAnsi="Times New Roman" w:cs="Times New Roman"/>
          <w:sz w:val="24"/>
          <w:szCs w:val="24"/>
        </w:rPr>
      </w:pPr>
      <w:r w:rsidRPr="008F7DA5">
        <w:rPr>
          <w:rFonts w:ascii="Times New Roman" w:hAnsi="Times New Roman" w:cs="Times New Roman"/>
          <w:sz w:val="24"/>
          <w:szCs w:val="24"/>
        </w:rPr>
        <w:tab/>
      </w:r>
    </w:p>
    <w:p w:rsidR="008F7DA5" w:rsidRPr="008F7DA5" w:rsidRDefault="007134A4" w:rsidP="0078439E">
      <w:pPr>
        <w:rPr>
          <w:rFonts w:ascii="Times New Roman" w:hAnsi="Times New Roman" w:cs="Times New Roman"/>
          <w:color w:val="000000"/>
          <w:sz w:val="24"/>
          <w:szCs w:val="24"/>
        </w:rPr>
      </w:pPr>
      <w:r w:rsidRPr="008F7DA5">
        <w:rPr>
          <w:rFonts w:ascii="Times New Roman" w:hAnsi="Times New Roman" w:cs="Times New Roman"/>
          <w:sz w:val="24"/>
          <w:szCs w:val="24"/>
        </w:rPr>
        <w:tab/>
      </w:r>
      <w:r w:rsidR="008F7DA5" w:rsidRPr="008F7DA5">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8F7DA5" w:rsidRPr="008F7DA5">
        <w:rPr>
          <w:rFonts w:ascii="Times New Roman" w:hAnsi="Times New Roman" w:cs="Times New Roman"/>
          <w:sz w:val="24"/>
          <w:szCs w:val="24"/>
        </w:rPr>
        <w:t xml:space="preserve"> of the Reliability Standard, this document </w:t>
      </w:r>
      <w:r w:rsidR="008F7DA5" w:rsidRPr="008F7DA5">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9" w:history="1">
        <w:r w:rsidR="008F7DA5" w:rsidRPr="008F7DA5">
          <w:rPr>
            <w:rStyle w:val="Hyperlink"/>
            <w:rFonts w:ascii="Times New Roman" w:hAnsi="Times New Roman" w:cs="Times New Roman"/>
            <w:sz w:val="24"/>
            <w:szCs w:val="24"/>
          </w:rPr>
          <w:t>http://www.nerc.com/page.php?cid=2|20</w:t>
        </w:r>
      </w:hyperlink>
      <w:r w:rsidR="008F7DA5" w:rsidRPr="008F7DA5">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8F7DA5" w:rsidRPr="008F7DA5" w:rsidRDefault="008F7DA5" w:rsidP="0078439E">
      <w:pPr>
        <w:rPr>
          <w:rFonts w:ascii="Times New Roman" w:hAnsi="Times New Roman" w:cs="Times New Roman"/>
          <w:color w:val="000000"/>
          <w:sz w:val="24"/>
          <w:szCs w:val="24"/>
        </w:rPr>
      </w:pPr>
    </w:p>
    <w:p w:rsidR="007134A4" w:rsidRPr="008F7DA5" w:rsidRDefault="008F7DA5" w:rsidP="0078439E">
      <w:pPr>
        <w:rPr>
          <w:rFonts w:ascii="Times New Roman" w:hAnsi="Times New Roman" w:cs="Times New Roman"/>
          <w:sz w:val="24"/>
          <w:szCs w:val="24"/>
        </w:rPr>
      </w:pPr>
      <w:r w:rsidRPr="008F7DA5">
        <w:rPr>
          <w:rFonts w:ascii="Times New Roman" w:hAnsi="Times New Roman" w:cs="Times New Roman"/>
          <w:color w:val="000000"/>
          <w:sz w:val="24"/>
          <w:szCs w:val="24"/>
        </w:rPr>
        <w:t>The NERC RSAW language contained within this document provides a non</w:t>
      </w:r>
      <w:r w:rsidRPr="008F7DA5">
        <w:rPr>
          <w:rFonts w:ascii="Times New Roman" w:hAnsi="Times New Roman" w:cs="Times New Roman"/>
          <w:color w:val="000000"/>
          <w:sz w:val="24"/>
          <w:szCs w:val="24"/>
        </w:rPr>
        <w:noBreakHyphen/>
        <w:t>exclusive list, for informational purposes</w:t>
      </w:r>
      <w:r w:rsidRPr="008F7DA5">
        <w:rPr>
          <w:rFonts w:ascii="Times New Roman" w:hAnsi="Times New Roman" w:cs="Times New Roman"/>
          <w:sz w:val="24"/>
          <w:szCs w:val="24"/>
        </w:rPr>
        <w:t xml:space="preserve"> </w:t>
      </w:r>
      <w:r w:rsidRPr="008F7DA5">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8F7DA5">
        <w:rPr>
          <w:rFonts w:ascii="Times New Roman" w:hAnsi="Times New Roman" w:cs="Times New Roman"/>
          <w:sz w:val="24"/>
          <w:szCs w:val="24"/>
        </w:rPr>
        <w:t xml:space="preserve"> </w:t>
      </w:r>
      <w:r w:rsidRPr="008F7DA5">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r w:rsidR="007134A4" w:rsidRPr="008F7DA5">
        <w:rPr>
          <w:rFonts w:ascii="Times New Roman" w:hAnsi="Times New Roman" w:cs="Times New Roman"/>
          <w:color w:val="000000"/>
          <w:sz w:val="24"/>
          <w:szCs w:val="24"/>
        </w:rPr>
        <w:t xml:space="preserve">    </w:t>
      </w:r>
    </w:p>
    <w:p w:rsidR="00B627B7" w:rsidRPr="008F7DA5" w:rsidRDefault="00B627B7" w:rsidP="0078439E">
      <w:pPr>
        <w:widowControl w:val="0"/>
        <w:rPr>
          <w:rFonts w:ascii="Times New Roman" w:hAnsi="Times New Roman" w:cs="Times New Roman"/>
          <w:sz w:val="24"/>
          <w:szCs w:val="24"/>
        </w:rPr>
      </w:pPr>
    </w:p>
    <w:p w:rsidR="00B627B7" w:rsidRPr="008F7DA5" w:rsidRDefault="00B627B7" w:rsidP="0078439E">
      <w:pPr>
        <w:widowControl w:val="0"/>
        <w:rPr>
          <w:rFonts w:ascii="Times New Roman" w:hAnsi="Times New Roman" w:cs="Times New Roman"/>
          <w:sz w:val="24"/>
          <w:szCs w:val="24"/>
        </w:rPr>
      </w:pPr>
    </w:p>
    <w:p w:rsidR="00F226F6" w:rsidRPr="007627A0" w:rsidRDefault="00F226F6" w:rsidP="0078439E">
      <w:pPr>
        <w:pStyle w:val="Heading1"/>
        <w:rPr>
          <w:bCs/>
          <w:color w:val="003366"/>
        </w:rPr>
      </w:pPr>
      <w:r>
        <w:rPr>
          <w:rFonts w:ascii="Times New Roman" w:hAnsi="Times New Roman" w:cs="Times New Roman"/>
          <w:sz w:val="24"/>
          <w:szCs w:val="24"/>
        </w:rPr>
        <w:br w:type="page"/>
      </w:r>
      <w:r w:rsidRPr="007627A0">
        <w:rPr>
          <w:bCs/>
          <w:color w:val="003366"/>
        </w:rPr>
        <w:lastRenderedPageBreak/>
        <w:t>Subject Matter Experts</w:t>
      </w:r>
    </w:p>
    <w:p w:rsidR="007627A0" w:rsidRDefault="007627A0" w:rsidP="0078439E">
      <w:pPr>
        <w:widowControl w:val="0"/>
        <w:rPr>
          <w:rFonts w:ascii="Times New Roman" w:hAnsi="Times New Roman" w:cs="Times New Roman"/>
          <w:color w:val="000000"/>
          <w:sz w:val="24"/>
          <w:szCs w:val="24"/>
        </w:rPr>
      </w:pPr>
    </w:p>
    <w:p w:rsidR="00F226F6" w:rsidRDefault="00F226F6" w:rsidP="0078439E">
      <w:pPr>
        <w:widowControl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Insert additional lines if necessary.  </w:t>
      </w:r>
    </w:p>
    <w:p w:rsidR="00F226F6" w:rsidRDefault="00F226F6" w:rsidP="0078439E">
      <w:pPr>
        <w:widowControl w:val="0"/>
        <w:rPr>
          <w:rFonts w:ascii="Times New Roman" w:hAnsi="Times New Roman" w:cs="Times New Roman"/>
          <w:sz w:val="24"/>
          <w:szCs w:val="24"/>
        </w:rPr>
      </w:pPr>
    </w:p>
    <w:p w:rsidR="00F226F6" w:rsidRDefault="00F226F6" w:rsidP="0078439E">
      <w:pPr>
        <w:widowControl w:val="0"/>
        <w:rPr>
          <w:rFonts w:ascii="Times New Roman" w:hAnsi="Times New Roman" w:cs="Times New Roman"/>
          <w:sz w:val="24"/>
          <w:szCs w:val="24"/>
        </w:rPr>
      </w:pPr>
    </w:p>
    <w:p w:rsidR="00F226F6" w:rsidRDefault="00F226F6" w:rsidP="0078439E">
      <w:pPr>
        <w:widowControl w:val="0"/>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F226F6" w:rsidRDefault="00F226F6" w:rsidP="0078439E">
      <w:pPr>
        <w:widowControl w:val="0"/>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F226F6">
        <w:tc>
          <w:tcPr>
            <w:tcW w:w="3528" w:type="dxa"/>
            <w:tcBorders>
              <w:top w:val="single" w:sz="8" w:space="0" w:color="4F81BD"/>
              <w:left w:val="nil"/>
              <w:bottom w:val="single" w:sz="8" w:space="0" w:color="4F81BD"/>
              <w:right w:val="nil"/>
            </w:tcBorders>
          </w:tcPr>
          <w:p w:rsidR="00F226F6" w:rsidRDefault="00F226F6" w:rsidP="0078439E">
            <w:pPr>
              <w:widowControl w:val="0"/>
              <w:rPr>
                <w:rFonts w:ascii="Times New Roman" w:hAnsi="Times New Roman" w:cs="Times New Roman"/>
                <w:b/>
                <w:bCs/>
                <w:color w:val="365F91"/>
                <w:sz w:val="24"/>
                <w:szCs w:val="24"/>
              </w:rPr>
            </w:pPr>
            <w:r>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F226F6" w:rsidRDefault="00F226F6" w:rsidP="0078439E">
            <w:pPr>
              <w:widowControl w:val="0"/>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F226F6" w:rsidRDefault="00F226F6" w:rsidP="0078439E">
            <w:pPr>
              <w:widowControl w:val="0"/>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F226F6" w:rsidRDefault="00F226F6" w:rsidP="0078439E">
            <w:pPr>
              <w:widowControl w:val="0"/>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Requirement</w:t>
            </w:r>
          </w:p>
        </w:tc>
      </w:tr>
      <w:tr w:rsidR="00F226F6">
        <w:tc>
          <w:tcPr>
            <w:tcW w:w="3528" w:type="dxa"/>
            <w:tcBorders>
              <w:top w:val="nil"/>
              <w:left w:val="nil"/>
              <w:bottom w:val="nil"/>
              <w:right w:val="nil"/>
            </w:tcBorders>
            <w:shd w:val="clear" w:color="auto" w:fill="D3DFEE"/>
          </w:tcPr>
          <w:p w:rsidR="00F226F6" w:rsidRDefault="00F226F6" w:rsidP="0078439E">
            <w:pPr>
              <w:widowControl w:val="0"/>
              <w:jc w:val="both"/>
              <w:rPr>
                <w:rFonts w:ascii="Times New Roman" w:hAnsi="Times New Roman" w:cs="Times New Roman"/>
                <w:b/>
                <w:bCs/>
                <w:color w:val="365F91"/>
                <w:sz w:val="24"/>
                <w:szCs w:val="24"/>
              </w:rPr>
            </w:pPr>
          </w:p>
        </w:tc>
        <w:tc>
          <w:tcPr>
            <w:tcW w:w="2880" w:type="dxa"/>
            <w:tcBorders>
              <w:top w:val="nil"/>
              <w:left w:val="nil"/>
              <w:bottom w:val="nil"/>
              <w:right w:val="nil"/>
            </w:tcBorders>
            <w:shd w:val="clear" w:color="auto" w:fill="D3DFEE"/>
          </w:tcPr>
          <w:p w:rsidR="00F226F6" w:rsidRDefault="00F226F6" w:rsidP="0078439E">
            <w:pPr>
              <w:widowControl w:val="0"/>
              <w:rPr>
                <w:rFonts w:ascii="Times New Roman" w:hAnsi="Times New Roman" w:cs="Times New Roman"/>
                <w:color w:val="365F91"/>
                <w:sz w:val="24"/>
                <w:szCs w:val="24"/>
              </w:rPr>
            </w:pPr>
          </w:p>
        </w:tc>
        <w:tc>
          <w:tcPr>
            <w:tcW w:w="2520" w:type="dxa"/>
            <w:tcBorders>
              <w:top w:val="nil"/>
              <w:left w:val="nil"/>
              <w:bottom w:val="nil"/>
              <w:right w:val="nil"/>
            </w:tcBorders>
            <w:shd w:val="clear" w:color="auto" w:fill="D3DFEE"/>
          </w:tcPr>
          <w:p w:rsidR="00F226F6" w:rsidRDefault="00F226F6" w:rsidP="0078439E">
            <w:pPr>
              <w:widowControl w:val="0"/>
              <w:rPr>
                <w:rFonts w:ascii="Times New Roman" w:hAnsi="Times New Roman" w:cs="Times New Roman"/>
                <w:color w:val="365F91"/>
                <w:sz w:val="24"/>
                <w:szCs w:val="24"/>
              </w:rPr>
            </w:pPr>
          </w:p>
        </w:tc>
        <w:tc>
          <w:tcPr>
            <w:tcW w:w="1440" w:type="dxa"/>
            <w:tcBorders>
              <w:top w:val="nil"/>
              <w:left w:val="nil"/>
              <w:bottom w:val="nil"/>
              <w:right w:val="nil"/>
            </w:tcBorders>
            <w:shd w:val="clear" w:color="auto" w:fill="D3DFEE"/>
          </w:tcPr>
          <w:p w:rsidR="00F226F6" w:rsidRDefault="00F226F6" w:rsidP="0078439E">
            <w:pPr>
              <w:widowControl w:val="0"/>
              <w:rPr>
                <w:rFonts w:ascii="Times New Roman" w:hAnsi="Times New Roman" w:cs="Times New Roman"/>
                <w:color w:val="365F91"/>
                <w:sz w:val="24"/>
                <w:szCs w:val="24"/>
              </w:rPr>
            </w:pPr>
          </w:p>
        </w:tc>
      </w:tr>
      <w:tr w:rsidR="00F226F6">
        <w:tc>
          <w:tcPr>
            <w:tcW w:w="3528" w:type="dxa"/>
            <w:tcBorders>
              <w:top w:val="nil"/>
              <w:left w:val="nil"/>
              <w:bottom w:val="nil"/>
              <w:right w:val="nil"/>
            </w:tcBorders>
          </w:tcPr>
          <w:p w:rsidR="00F226F6" w:rsidRDefault="00F226F6" w:rsidP="0078439E">
            <w:pPr>
              <w:widowControl w:val="0"/>
              <w:jc w:val="both"/>
              <w:rPr>
                <w:rFonts w:ascii="Times New Roman" w:hAnsi="Times New Roman" w:cs="Times New Roman"/>
                <w:b/>
                <w:bCs/>
                <w:color w:val="365F91"/>
                <w:sz w:val="24"/>
                <w:szCs w:val="24"/>
              </w:rPr>
            </w:pPr>
          </w:p>
        </w:tc>
        <w:tc>
          <w:tcPr>
            <w:tcW w:w="2880" w:type="dxa"/>
            <w:tcBorders>
              <w:top w:val="nil"/>
              <w:left w:val="nil"/>
              <w:bottom w:val="nil"/>
              <w:right w:val="nil"/>
            </w:tcBorders>
          </w:tcPr>
          <w:p w:rsidR="00F226F6" w:rsidRDefault="00F226F6" w:rsidP="0078439E">
            <w:pPr>
              <w:widowControl w:val="0"/>
              <w:rPr>
                <w:rFonts w:ascii="Times New Roman" w:hAnsi="Times New Roman" w:cs="Times New Roman"/>
                <w:color w:val="365F91"/>
                <w:sz w:val="24"/>
                <w:szCs w:val="24"/>
              </w:rPr>
            </w:pPr>
          </w:p>
        </w:tc>
        <w:tc>
          <w:tcPr>
            <w:tcW w:w="2520" w:type="dxa"/>
            <w:tcBorders>
              <w:top w:val="nil"/>
              <w:left w:val="nil"/>
              <w:bottom w:val="nil"/>
              <w:right w:val="nil"/>
            </w:tcBorders>
          </w:tcPr>
          <w:p w:rsidR="00F226F6" w:rsidRDefault="00F226F6" w:rsidP="0078439E">
            <w:pPr>
              <w:widowControl w:val="0"/>
              <w:rPr>
                <w:rFonts w:ascii="Times New Roman" w:hAnsi="Times New Roman" w:cs="Times New Roman"/>
                <w:color w:val="365F91"/>
                <w:sz w:val="24"/>
                <w:szCs w:val="24"/>
              </w:rPr>
            </w:pPr>
          </w:p>
        </w:tc>
        <w:tc>
          <w:tcPr>
            <w:tcW w:w="1440" w:type="dxa"/>
            <w:tcBorders>
              <w:top w:val="nil"/>
              <w:left w:val="nil"/>
              <w:bottom w:val="nil"/>
              <w:right w:val="nil"/>
            </w:tcBorders>
          </w:tcPr>
          <w:p w:rsidR="00F226F6" w:rsidRDefault="00F226F6" w:rsidP="0078439E">
            <w:pPr>
              <w:widowControl w:val="0"/>
              <w:rPr>
                <w:rFonts w:ascii="Times New Roman" w:hAnsi="Times New Roman" w:cs="Times New Roman"/>
                <w:color w:val="365F91"/>
                <w:sz w:val="24"/>
                <w:szCs w:val="24"/>
              </w:rPr>
            </w:pPr>
          </w:p>
        </w:tc>
      </w:tr>
      <w:tr w:rsidR="00F226F6">
        <w:tc>
          <w:tcPr>
            <w:tcW w:w="3528" w:type="dxa"/>
            <w:tcBorders>
              <w:top w:val="nil"/>
              <w:left w:val="nil"/>
              <w:bottom w:val="single" w:sz="8" w:space="0" w:color="4F81BD"/>
              <w:right w:val="nil"/>
            </w:tcBorders>
            <w:shd w:val="clear" w:color="auto" w:fill="D3DFEE"/>
          </w:tcPr>
          <w:p w:rsidR="00F226F6" w:rsidRDefault="00F226F6" w:rsidP="0078439E">
            <w:pPr>
              <w:widowControl w:val="0"/>
              <w:jc w:val="both"/>
              <w:rPr>
                <w:rFonts w:ascii="Times New Roman" w:hAnsi="Times New Roman" w:cs="Times New Roman"/>
                <w:b/>
                <w:bCs/>
                <w:color w:val="365F91"/>
                <w:sz w:val="24"/>
                <w:szCs w:val="24"/>
              </w:rPr>
            </w:pPr>
          </w:p>
        </w:tc>
        <w:tc>
          <w:tcPr>
            <w:tcW w:w="2880" w:type="dxa"/>
            <w:tcBorders>
              <w:top w:val="nil"/>
              <w:left w:val="nil"/>
              <w:bottom w:val="single" w:sz="8" w:space="0" w:color="4F81BD"/>
              <w:right w:val="nil"/>
            </w:tcBorders>
            <w:shd w:val="clear" w:color="auto" w:fill="D3DFEE"/>
          </w:tcPr>
          <w:p w:rsidR="00F226F6" w:rsidRDefault="00F226F6" w:rsidP="0078439E">
            <w:pPr>
              <w:widowControl w:val="0"/>
              <w:rPr>
                <w:rFonts w:ascii="Times New Roman" w:hAnsi="Times New Roman" w:cs="Times New Roman"/>
                <w:color w:val="365F91"/>
                <w:sz w:val="24"/>
                <w:szCs w:val="24"/>
              </w:rPr>
            </w:pPr>
          </w:p>
        </w:tc>
        <w:tc>
          <w:tcPr>
            <w:tcW w:w="2520" w:type="dxa"/>
            <w:tcBorders>
              <w:top w:val="nil"/>
              <w:left w:val="nil"/>
              <w:bottom w:val="single" w:sz="8" w:space="0" w:color="4F81BD"/>
              <w:right w:val="nil"/>
            </w:tcBorders>
            <w:shd w:val="clear" w:color="auto" w:fill="D3DFEE"/>
          </w:tcPr>
          <w:p w:rsidR="00F226F6" w:rsidRDefault="00F226F6" w:rsidP="0078439E">
            <w:pPr>
              <w:widowControl w:val="0"/>
              <w:rPr>
                <w:rFonts w:ascii="Times New Roman" w:hAnsi="Times New Roman" w:cs="Times New Roman"/>
                <w:color w:val="365F91"/>
                <w:sz w:val="24"/>
                <w:szCs w:val="24"/>
              </w:rPr>
            </w:pPr>
          </w:p>
        </w:tc>
        <w:tc>
          <w:tcPr>
            <w:tcW w:w="1440" w:type="dxa"/>
            <w:tcBorders>
              <w:top w:val="nil"/>
              <w:left w:val="nil"/>
              <w:bottom w:val="single" w:sz="8" w:space="0" w:color="4F81BD"/>
              <w:right w:val="nil"/>
            </w:tcBorders>
            <w:shd w:val="clear" w:color="auto" w:fill="D3DFEE"/>
          </w:tcPr>
          <w:p w:rsidR="00F226F6" w:rsidRDefault="00F226F6" w:rsidP="0078439E">
            <w:pPr>
              <w:widowControl w:val="0"/>
              <w:rPr>
                <w:rFonts w:ascii="Times New Roman" w:hAnsi="Times New Roman" w:cs="Times New Roman"/>
                <w:color w:val="365F91"/>
                <w:sz w:val="24"/>
                <w:szCs w:val="24"/>
              </w:rPr>
            </w:pPr>
          </w:p>
        </w:tc>
      </w:tr>
    </w:tbl>
    <w:p w:rsidR="00F226F6" w:rsidRPr="0078439E" w:rsidRDefault="00F226F6" w:rsidP="0078439E">
      <w:pPr>
        <w:rPr>
          <w:rFonts w:ascii="Times New Roman" w:hAnsi="Times New Roman" w:cs="Times New Roman"/>
          <w:color w:val="365F91"/>
          <w:sz w:val="24"/>
          <w:szCs w:val="24"/>
        </w:rPr>
      </w:pPr>
    </w:p>
    <w:p w:rsidR="0078439E" w:rsidRPr="0078439E" w:rsidRDefault="0078439E" w:rsidP="0078439E">
      <w:pPr>
        <w:rPr>
          <w:rFonts w:ascii="Times New Roman" w:hAnsi="Times New Roman" w:cs="Times New Roman"/>
          <w:color w:val="365F91"/>
          <w:sz w:val="24"/>
          <w:szCs w:val="24"/>
        </w:rPr>
      </w:pPr>
    </w:p>
    <w:p w:rsidR="00F226F6" w:rsidRDefault="00F226F6" w:rsidP="0078439E">
      <w:pPr>
        <w:pStyle w:val="Heading1"/>
      </w:pPr>
      <w:r>
        <w:t>Supporting Evidence and Documentation</w:t>
      </w:r>
    </w:p>
    <w:p w:rsidR="0087292E" w:rsidRPr="0078439E" w:rsidRDefault="0087292E" w:rsidP="0078439E">
      <w:pPr>
        <w:rPr>
          <w:rFonts w:ascii="Times New Roman" w:hAnsi="Times New Roman" w:cs="Times New Roman"/>
          <w:color w:val="365F91"/>
          <w:sz w:val="24"/>
          <w:szCs w:val="24"/>
        </w:rPr>
      </w:pPr>
    </w:p>
    <w:p w:rsidR="00F226F6" w:rsidRDefault="00F226F6" w:rsidP="0078439E">
      <w:pPr>
        <w:widowControl w:val="0"/>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F226F6" w:rsidRPr="0078439E" w:rsidRDefault="00F226F6" w:rsidP="0078439E">
      <w:pPr>
        <w:rPr>
          <w:rFonts w:ascii="Times New Roman" w:hAnsi="Times New Roman" w:cs="Times New Roman"/>
          <w:color w:val="365F91"/>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188"/>
        <w:gridCol w:w="9144"/>
      </w:tblGrid>
      <w:tr w:rsidR="00F226F6" w:rsidTr="007627A0">
        <w:trPr>
          <w:trHeight w:val="945"/>
        </w:trPr>
        <w:tc>
          <w:tcPr>
            <w:tcW w:w="1188" w:type="dxa"/>
            <w:tcBorders>
              <w:top w:val="nil"/>
              <w:left w:val="nil"/>
              <w:bottom w:val="nil"/>
              <w:right w:val="nil"/>
            </w:tcBorders>
          </w:tcPr>
          <w:p w:rsidR="00F226F6" w:rsidRDefault="00F226F6" w:rsidP="0078439E">
            <w:pPr>
              <w:widowControl w:val="0"/>
              <w:rPr>
                <w:rFonts w:ascii="Times New Roman" w:hAnsi="Times New Roman" w:cs="Times New Roman"/>
                <w:b/>
                <w:bCs/>
                <w:color w:val="365F91"/>
                <w:sz w:val="24"/>
                <w:szCs w:val="24"/>
              </w:rPr>
            </w:pPr>
          </w:p>
        </w:tc>
        <w:tc>
          <w:tcPr>
            <w:tcW w:w="9144" w:type="dxa"/>
            <w:tcBorders>
              <w:top w:val="nil"/>
              <w:left w:val="nil"/>
              <w:bottom w:val="nil"/>
              <w:right w:val="nil"/>
            </w:tcBorders>
          </w:tcPr>
          <w:p w:rsidR="00F226F6" w:rsidRDefault="00F226F6" w:rsidP="0078439E">
            <w:pPr>
              <w:widowControl w:val="0"/>
              <w:rPr>
                <w:rFonts w:ascii="Times New Roman" w:hAnsi="Times New Roman" w:cs="Times New Roman"/>
                <w:b/>
                <w:bCs/>
                <w:color w:val="365F91"/>
                <w:sz w:val="24"/>
                <w:szCs w:val="24"/>
              </w:rPr>
            </w:pPr>
            <w:r>
              <w:rPr>
                <w:rFonts w:ascii="Times New Roman" w:hAnsi="Times New Roman" w:cs="Times New Roman"/>
                <w:sz w:val="24"/>
                <w:szCs w:val="24"/>
              </w:rPr>
              <w:tab/>
            </w:r>
            <w:r>
              <w:rPr>
                <w:rFonts w:ascii="Times New Roman" w:hAnsi="Times New Roman" w:cs="Times New Roman"/>
                <w:b/>
                <w:color w:val="365F91"/>
                <w:sz w:val="24"/>
                <w:szCs w:val="24"/>
              </w:rPr>
              <w:t xml:space="preserve">   P</w:t>
            </w:r>
            <w:r>
              <w:rPr>
                <w:rFonts w:ascii="Times New Roman" w:hAnsi="Times New Roman" w:cs="Times New Roman"/>
                <w:b/>
                <w:bCs/>
                <w:color w:val="365F91"/>
                <w:sz w:val="24"/>
                <w:szCs w:val="24"/>
              </w:rPr>
              <w:t>rovide the following:</w:t>
            </w:r>
          </w:p>
          <w:p w:rsidR="00F226F6" w:rsidRDefault="00F226F6" w:rsidP="0078439E">
            <w:pPr>
              <w:widowControl w:val="0"/>
              <w:rPr>
                <w:rFonts w:ascii="Times New Roman" w:hAnsi="Times New Roman" w:cs="Times New Roman"/>
                <w:b/>
                <w:bCs/>
                <w:color w:val="365F91"/>
                <w:sz w:val="24"/>
                <w:szCs w:val="24"/>
              </w:rPr>
            </w:pPr>
            <w:r>
              <w:rPr>
                <w:rFonts w:ascii="Times New Roman" w:hAnsi="Times New Roman" w:cs="Times New Roman"/>
                <w:b/>
                <w:bCs/>
                <w:color w:val="365F91"/>
                <w:sz w:val="24"/>
                <w:szCs w:val="24"/>
              </w:rPr>
              <w:tab/>
              <w:t xml:space="preserve">Document Title and/or File Name, </w:t>
            </w:r>
            <w:r w:rsidR="007627A0">
              <w:rPr>
                <w:rFonts w:ascii="Times New Roman" w:hAnsi="Times New Roman" w:cs="Times New Roman"/>
                <w:b/>
                <w:bCs/>
                <w:color w:val="365F91"/>
                <w:sz w:val="24"/>
                <w:szCs w:val="24"/>
              </w:rPr>
              <w:t xml:space="preserve"> </w:t>
            </w:r>
            <w:r>
              <w:rPr>
                <w:rFonts w:ascii="Times New Roman" w:hAnsi="Times New Roman" w:cs="Times New Roman"/>
                <w:b/>
                <w:bCs/>
                <w:color w:val="365F91"/>
                <w:sz w:val="24"/>
                <w:szCs w:val="24"/>
              </w:rPr>
              <w:t xml:space="preserve">Page &amp; Section, </w:t>
            </w:r>
            <w:r w:rsidR="007627A0">
              <w:rPr>
                <w:rFonts w:ascii="Times New Roman" w:hAnsi="Times New Roman" w:cs="Times New Roman"/>
                <w:b/>
                <w:bCs/>
                <w:color w:val="365F91"/>
                <w:sz w:val="24"/>
                <w:szCs w:val="24"/>
              </w:rPr>
              <w:t xml:space="preserve">  </w:t>
            </w:r>
            <w:r>
              <w:rPr>
                <w:rFonts w:ascii="Times New Roman" w:hAnsi="Times New Roman" w:cs="Times New Roman"/>
                <w:b/>
                <w:bCs/>
                <w:color w:val="365F91"/>
                <w:sz w:val="24"/>
                <w:szCs w:val="24"/>
              </w:rPr>
              <w:t>Date &amp; Version</w:t>
            </w:r>
          </w:p>
        </w:tc>
      </w:tr>
      <w:tr w:rsidR="00F226F6" w:rsidTr="007627A0">
        <w:trPr>
          <w:trHeight w:val="521"/>
        </w:trPr>
        <w:tc>
          <w:tcPr>
            <w:tcW w:w="1188" w:type="dxa"/>
            <w:tcBorders>
              <w:top w:val="nil"/>
              <w:left w:val="nil"/>
              <w:bottom w:val="nil"/>
              <w:right w:val="nil"/>
            </w:tcBorders>
            <w:shd w:val="clear" w:color="auto" w:fill="D3DFEE"/>
          </w:tcPr>
          <w:p w:rsidR="00F226F6" w:rsidRDefault="00F226F6" w:rsidP="0078439E">
            <w:pPr>
              <w:widowControl w:val="0"/>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R1</w:t>
            </w:r>
          </w:p>
        </w:tc>
        <w:tc>
          <w:tcPr>
            <w:tcW w:w="9144" w:type="dxa"/>
            <w:tcBorders>
              <w:top w:val="nil"/>
              <w:left w:val="nil"/>
              <w:bottom w:val="nil"/>
              <w:right w:val="nil"/>
            </w:tcBorders>
            <w:shd w:val="clear" w:color="auto" w:fill="D3DFEE"/>
          </w:tcPr>
          <w:p w:rsidR="00F226F6" w:rsidRDefault="00F226F6" w:rsidP="0078439E">
            <w:pPr>
              <w:widowControl w:val="0"/>
              <w:rPr>
                <w:rFonts w:ascii="Times New Roman" w:hAnsi="Times New Roman" w:cs="Times New Roman"/>
                <w:color w:val="365F91"/>
                <w:sz w:val="24"/>
                <w:szCs w:val="24"/>
              </w:rPr>
            </w:pPr>
          </w:p>
        </w:tc>
      </w:tr>
      <w:tr w:rsidR="00F226F6" w:rsidTr="007627A0">
        <w:trPr>
          <w:trHeight w:val="534"/>
        </w:trPr>
        <w:tc>
          <w:tcPr>
            <w:tcW w:w="1188" w:type="dxa"/>
            <w:tcBorders>
              <w:top w:val="nil"/>
              <w:left w:val="nil"/>
              <w:bottom w:val="nil"/>
              <w:right w:val="nil"/>
            </w:tcBorders>
          </w:tcPr>
          <w:p w:rsidR="00F226F6" w:rsidRDefault="00F226F6" w:rsidP="0078439E">
            <w:pPr>
              <w:widowControl w:val="0"/>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R2</w:t>
            </w:r>
          </w:p>
        </w:tc>
        <w:tc>
          <w:tcPr>
            <w:tcW w:w="9144" w:type="dxa"/>
            <w:tcBorders>
              <w:top w:val="nil"/>
              <w:left w:val="nil"/>
              <w:bottom w:val="nil"/>
              <w:right w:val="nil"/>
            </w:tcBorders>
          </w:tcPr>
          <w:p w:rsidR="00F226F6" w:rsidRDefault="00F226F6" w:rsidP="0078439E">
            <w:pPr>
              <w:widowControl w:val="0"/>
              <w:rPr>
                <w:rFonts w:ascii="Times New Roman" w:hAnsi="Times New Roman" w:cs="Times New Roman"/>
                <w:color w:val="FFFFFF"/>
                <w:sz w:val="24"/>
                <w:szCs w:val="24"/>
              </w:rPr>
            </w:pPr>
          </w:p>
          <w:p w:rsidR="00F226F6" w:rsidRDefault="00F226F6" w:rsidP="0078439E">
            <w:pPr>
              <w:rPr>
                <w:rFonts w:ascii="Times New Roman" w:hAnsi="Times New Roman" w:cs="Times New Roman"/>
                <w:color w:val="FFFFFF"/>
                <w:sz w:val="24"/>
                <w:szCs w:val="24"/>
              </w:rPr>
            </w:pPr>
            <w:r>
              <w:rPr>
                <w:rFonts w:ascii="Times New Roman" w:hAnsi="Times New Roman" w:cs="Times New Roman"/>
                <w:color w:val="FFFFFF"/>
                <w:sz w:val="24"/>
                <w:szCs w:val="24"/>
              </w:rPr>
              <w:tab/>
            </w:r>
          </w:p>
        </w:tc>
      </w:tr>
      <w:tr w:rsidR="00F226F6" w:rsidTr="007627A0">
        <w:trPr>
          <w:trHeight w:val="534"/>
        </w:trPr>
        <w:tc>
          <w:tcPr>
            <w:tcW w:w="1188" w:type="dxa"/>
            <w:tcBorders>
              <w:top w:val="nil"/>
              <w:left w:val="nil"/>
              <w:bottom w:val="nil"/>
              <w:right w:val="nil"/>
            </w:tcBorders>
            <w:shd w:val="clear" w:color="auto" w:fill="D3DFEE"/>
          </w:tcPr>
          <w:p w:rsidR="00F226F6" w:rsidRDefault="00F226F6" w:rsidP="0078439E">
            <w:pPr>
              <w:widowControl w:val="0"/>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R3</w:t>
            </w:r>
          </w:p>
        </w:tc>
        <w:tc>
          <w:tcPr>
            <w:tcW w:w="9144" w:type="dxa"/>
            <w:tcBorders>
              <w:top w:val="nil"/>
              <w:left w:val="nil"/>
              <w:bottom w:val="nil"/>
              <w:right w:val="nil"/>
            </w:tcBorders>
            <w:shd w:val="clear" w:color="auto" w:fill="D3DFEE"/>
          </w:tcPr>
          <w:p w:rsidR="00F226F6" w:rsidRDefault="00F226F6" w:rsidP="0078439E">
            <w:pPr>
              <w:widowControl w:val="0"/>
              <w:rPr>
                <w:rFonts w:ascii="Times New Roman" w:hAnsi="Times New Roman" w:cs="Times New Roman"/>
                <w:color w:val="365F91"/>
                <w:sz w:val="24"/>
                <w:szCs w:val="24"/>
              </w:rPr>
            </w:pPr>
          </w:p>
        </w:tc>
      </w:tr>
      <w:tr w:rsidR="00F226F6" w:rsidTr="007627A0">
        <w:trPr>
          <w:trHeight w:val="534"/>
        </w:trPr>
        <w:tc>
          <w:tcPr>
            <w:tcW w:w="1188" w:type="dxa"/>
            <w:tcBorders>
              <w:top w:val="nil"/>
              <w:left w:val="nil"/>
              <w:bottom w:val="single" w:sz="8" w:space="0" w:color="4F81BD"/>
              <w:right w:val="nil"/>
            </w:tcBorders>
          </w:tcPr>
          <w:p w:rsidR="00F226F6" w:rsidRDefault="00F226F6" w:rsidP="0078439E">
            <w:pPr>
              <w:widowControl w:val="0"/>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R4</w:t>
            </w:r>
          </w:p>
        </w:tc>
        <w:tc>
          <w:tcPr>
            <w:tcW w:w="9144" w:type="dxa"/>
            <w:tcBorders>
              <w:top w:val="nil"/>
              <w:left w:val="nil"/>
              <w:bottom w:val="single" w:sz="8" w:space="0" w:color="4F81BD"/>
              <w:right w:val="nil"/>
            </w:tcBorders>
          </w:tcPr>
          <w:p w:rsidR="00F226F6" w:rsidRDefault="00F226F6" w:rsidP="0078439E">
            <w:pPr>
              <w:widowControl w:val="0"/>
              <w:rPr>
                <w:rFonts w:ascii="Times New Roman" w:hAnsi="Times New Roman" w:cs="Times New Roman"/>
                <w:color w:val="365F91"/>
                <w:sz w:val="24"/>
                <w:szCs w:val="24"/>
              </w:rPr>
            </w:pPr>
          </w:p>
        </w:tc>
      </w:tr>
    </w:tbl>
    <w:p w:rsidR="001B6A45" w:rsidRDefault="00D90AF9" w:rsidP="0078439E">
      <w:pPr>
        <w:pStyle w:val="Heading1"/>
      </w:pPr>
      <w:r w:rsidRPr="008F7DA5">
        <w:rPr>
          <w:rFonts w:ascii="Times New Roman" w:hAnsi="Times New Roman" w:cs="Times New Roman"/>
          <w:sz w:val="24"/>
          <w:szCs w:val="24"/>
        </w:rPr>
        <w:br w:type="page"/>
      </w:r>
      <w:r w:rsidR="001B6A45">
        <w:t>Reliability Standard Language</w:t>
      </w:r>
    </w:p>
    <w:p w:rsidR="001B6A45" w:rsidRPr="0078439E" w:rsidRDefault="001B6A45" w:rsidP="0078439E">
      <w:pPr>
        <w:rPr>
          <w:rFonts w:ascii="Times New Roman" w:hAnsi="Times New Roman" w:cs="Times New Roman"/>
          <w:color w:val="365F91"/>
          <w:sz w:val="24"/>
          <w:szCs w:val="24"/>
        </w:rPr>
      </w:pPr>
    </w:p>
    <w:p w:rsidR="001B6A45" w:rsidRPr="0078439E" w:rsidRDefault="001B6A45" w:rsidP="0078439E">
      <w:pPr>
        <w:rPr>
          <w:rFonts w:ascii="Times New Roman" w:hAnsi="Times New Roman" w:cs="Times New Roman"/>
          <w:color w:val="365F91"/>
          <w:sz w:val="24"/>
          <w:szCs w:val="24"/>
        </w:rPr>
      </w:pPr>
    </w:p>
    <w:p w:rsidR="00D90AF9" w:rsidRPr="008F7DA5" w:rsidRDefault="00D90AF9" w:rsidP="0078439E">
      <w:pPr>
        <w:widowControl w:val="0"/>
        <w:shd w:val="clear" w:color="auto" w:fill="D3DCE9"/>
        <w:rPr>
          <w:rFonts w:ascii="Times New Roman" w:hAnsi="Times New Roman" w:cs="Times New Roman"/>
          <w:sz w:val="24"/>
          <w:szCs w:val="24"/>
        </w:rPr>
      </w:pPr>
    </w:p>
    <w:p w:rsidR="00D90AF9" w:rsidRPr="008F7DA5" w:rsidRDefault="00D90AF9" w:rsidP="0078439E">
      <w:pPr>
        <w:widowControl w:val="0"/>
        <w:shd w:val="clear" w:color="auto" w:fill="D3DCE9"/>
        <w:rPr>
          <w:rFonts w:ascii="Times New Roman" w:hAnsi="Times New Roman" w:cs="Times New Roman"/>
          <w:b/>
          <w:bCs/>
          <w:color w:val="264D74"/>
          <w:sz w:val="24"/>
          <w:szCs w:val="24"/>
        </w:rPr>
      </w:pPr>
      <w:r w:rsidRPr="008F7DA5">
        <w:rPr>
          <w:rFonts w:ascii="Times New Roman" w:hAnsi="Times New Roman" w:cs="Times New Roman"/>
          <w:sz w:val="24"/>
          <w:szCs w:val="24"/>
        </w:rPr>
        <w:tab/>
      </w:r>
      <w:r w:rsidR="00475BC5" w:rsidRPr="008F7DA5">
        <w:rPr>
          <w:rFonts w:ascii="Times New Roman" w:hAnsi="Times New Roman" w:cs="Times New Roman"/>
          <w:b/>
          <w:bCs/>
          <w:color w:val="264D74"/>
          <w:sz w:val="24"/>
          <w:szCs w:val="24"/>
        </w:rPr>
        <w:t>CIP-</w:t>
      </w:r>
      <w:r w:rsidR="00C57B75" w:rsidRPr="008F7DA5">
        <w:rPr>
          <w:rFonts w:ascii="Times New Roman" w:hAnsi="Times New Roman" w:cs="Times New Roman"/>
          <w:b/>
          <w:bCs/>
          <w:color w:val="264D74"/>
          <w:sz w:val="24"/>
          <w:szCs w:val="24"/>
        </w:rPr>
        <w:t>002</w:t>
      </w:r>
      <w:r w:rsidR="00475BC5" w:rsidRPr="008F7DA5">
        <w:rPr>
          <w:rFonts w:ascii="Times New Roman" w:hAnsi="Times New Roman" w:cs="Times New Roman"/>
          <w:b/>
          <w:bCs/>
          <w:color w:val="264D74"/>
          <w:sz w:val="24"/>
          <w:szCs w:val="24"/>
        </w:rPr>
        <w:t>-</w:t>
      </w:r>
      <w:r w:rsidR="00A535FB">
        <w:rPr>
          <w:rFonts w:ascii="Times New Roman" w:hAnsi="Times New Roman" w:cs="Times New Roman"/>
          <w:b/>
          <w:bCs/>
          <w:color w:val="264D74"/>
          <w:sz w:val="24"/>
          <w:szCs w:val="24"/>
        </w:rPr>
        <w:t>3</w:t>
      </w:r>
      <w:r w:rsidR="00A535FB" w:rsidRPr="008F7DA5">
        <w:rPr>
          <w:rFonts w:ascii="Times New Roman" w:hAnsi="Times New Roman" w:cs="Times New Roman"/>
          <w:b/>
          <w:bCs/>
          <w:color w:val="264D74"/>
          <w:sz w:val="24"/>
          <w:szCs w:val="24"/>
        </w:rPr>
        <w:t xml:space="preserve"> </w:t>
      </w:r>
      <w:r w:rsidR="00475BC5" w:rsidRPr="008F7DA5">
        <w:rPr>
          <w:rFonts w:ascii="Times New Roman" w:hAnsi="Times New Roman" w:cs="Times New Roman"/>
          <w:b/>
          <w:bCs/>
          <w:color w:val="264D74"/>
          <w:sz w:val="24"/>
          <w:szCs w:val="24"/>
        </w:rPr>
        <w:t>—</w:t>
      </w:r>
      <w:r w:rsidR="003703AC" w:rsidRPr="008F7DA5">
        <w:rPr>
          <w:rFonts w:ascii="Times New Roman" w:hAnsi="Times New Roman" w:cs="Times New Roman"/>
          <w:b/>
          <w:bCs/>
          <w:color w:val="264D74"/>
          <w:sz w:val="24"/>
          <w:szCs w:val="24"/>
        </w:rPr>
        <w:t xml:space="preserve"> </w:t>
      </w:r>
      <w:r w:rsidR="00C57B75" w:rsidRPr="008F7DA5">
        <w:rPr>
          <w:rFonts w:ascii="Times New Roman" w:hAnsi="Times New Roman" w:cs="Times New Roman"/>
          <w:b/>
          <w:bCs/>
          <w:color w:val="264D74"/>
          <w:sz w:val="24"/>
          <w:szCs w:val="24"/>
        </w:rPr>
        <w:t xml:space="preserve">Cyber Security </w:t>
      </w:r>
      <w:r w:rsidR="003703AC" w:rsidRPr="008F7DA5">
        <w:rPr>
          <w:rFonts w:ascii="Times New Roman" w:hAnsi="Times New Roman" w:cs="Times New Roman"/>
          <w:b/>
          <w:bCs/>
          <w:color w:val="264D74"/>
          <w:sz w:val="24"/>
          <w:szCs w:val="24"/>
        </w:rPr>
        <w:t>—</w:t>
      </w:r>
      <w:r w:rsidR="00C57B75" w:rsidRPr="008F7DA5">
        <w:rPr>
          <w:rFonts w:ascii="Times New Roman" w:hAnsi="Times New Roman" w:cs="Times New Roman"/>
          <w:b/>
          <w:bCs/>
          <w:color w:val="264D74"/>
          <w:sz w:val="24"/>
          <w:szCs w:val="24"/>
        </w:rPr>
        <w:t xml:space="preserve"> Critical Cyber Asset Identification</w:t>
      </w:r>
      <w:r w:rsidR="00717420" w:rsidRPr="008F7DA5">
        <w:rPr>
          <w:rFonts w:ascii="Times New Roman" w:hAnsi="Times New Roman" w:cs="Times New Roman"/>
          <w:b/>
          <w:bCs/>
          <w:color w:val="264D74"/>
          <w:sz w:val="24"/>
          <w:szCs w:val="24"/>
        </w:rPr>
        <w:t xml:space="preserve"> </w:t>
      </w:r>
    </w:p>
    <w:p w:rsidR="00D90AF9" w:rsidRPr="008F7DA5" w:rsidRDefault="00D90AF9" w:rsidP="0078439E">
      <w:pPr>
        <w:widowControl w:val="0"/>
        <w:shd w:val="clear" w:color="auto" w:fill="D3DCE9"/>
        <w:rPr>
          <w:rFonts w:ascii="Times New Roman" w:hAnsi="Times New Roman" w:cs="Times New Roman"/>
          <w:color w:val="264D74"/>
          <w:sz w:val="24"/>
          <w:szCs w:val="24"/>
        </w:rPr>
      </w:pPr>
    </w:p>
    <w:p w:rsidR="00D90AF9" w:rsidRPr="0078439E" w:rsidRDefault="00D90AF9" w:rsidP="0078439E">
      <w:pPr>
        <w:rPr>
          <w:rFonts w:ascii="Times New Roman" w:hAnsi="Times New Roman" w:cs="Times New Roman"/>
          <w:color w:val="365F91"/>
          <w:sz w:val="24"/>
          <w:szCs w:val="24"/>
        </w:rPr>
      </w:pPr>
    </w:p>
    <w:p w:rsidR="007627A0" w:rsidRPr="0078439E" w:rsidRDefault="007627A0" w:rsidP="0078439E">
      <w:pPr>
        <w:rPr>
          <w:rFonts w:ascii="Times New Roman" w:hAnsi="Times New Roman" w:cs="Times New Roman"/>
          <w:color w:val="365F91"/>
          <w:sz w:val="24"/>
          <w:szCs w:val="24"/>
        </w:rPr>
      </w:pPr>
    </w:p>
    <w:p w:rsidR="00811A46" w:rsidRPr="008F7DA5" w:rsidRDefault="00D90AF9" w:rsidP="0078439E">
      <w:pPr>
        <w:widowControl w:val="0"/>
        <w:rPr>
          <w:rFonts w:ascii="Times New Roman" w:hAnsi="Times New Roman" w:cs="Times New Roman"/>
          <w:b/>
          <w:bCs/>
          <w:color w:val="264D74"/>
          <w:sz w:val="24"/>
          <w:szCs w:val="24"/>
        </w:rPr>
      </w:pPr>
      <w:r w:rsidRPr="008F7DA5">
        <w:rPr>
          <w:rFonts w:ascii="Times New Roman" w:hAnsi="Times New Roman" w:cs="Times New Roman"/>
          <w:b/>
          <w:color w:val="264D74"/>
          <w:sz w:val="24"/>
          <w:szCs w:val="24"/>
        </w:rPr>
        <w:t xml:space="preserve">Purpose: </w:t>
      </w:r>
    </w:p>
    <w:p w:rsidR="00C57B75" w:rsidRPr="008F7DA5" w:rsidRDefault="00C57B75" w:rsidP="0078439E">
      <w:pPr>
        <w:pStyle w:val="ListNumber"/>
        <w:numPr>
          <w:ilvl w:val="0"/>
          <w:numId w:val="0"/>
        </w:numPr>
        <w:rPr>
          <w:rFonts w:ascii="Times New Roman" w:hAnsi="Times New Roman" w:cs="Times New Roman"/>
          <w:sz w:val="24"/>
          <w:szCs w:val="24"/>
        </w:rPr>
      </w:pPr>
      <w:r w:rsidRPr="008F7DA5">
        <w:rPr>
          <w:rFonts w:ascii="Times New Roman" w:hAnsi="Times New Roman" w:cs="Times New Roman"/>
          <w:sz w:val="24"/>
          <w:szCs w:val="24"/>
        </w:rPr>
        <w:t>NERC</w:t>
      </w:r>
      <w:r w:rsidRPr="008F7DA5">
        <w:rPr>
          <w:rFonts w:ascii="Times New Roman" w:hAnsi="Times New Roman" w:cs="Times New Roman"/>
          <w:b/>
          <w:sz w:val="24"/>
          <w:szCs w:val="24"/>
        </w:rPr>
        <w:t xml:space="preserve"> </w:t>
      </w:r>
      <w:r w:rsidRPr="008F7DA5">
        <w:rPr>
          <w:rFonts w:ascii="Times New Roman" w:hAnsi="Times New Roman" w:cs="Times New Roman"/>
          <w:sz w:val="24"/>
          <w:szCs w:val="24"/>
        </w:rPr>
        <w:t>Standards CIP-002</w:t>
      </w:r>
      <w:r w:rsidR="00781D9E">
        <w:rPr>
          <w:rFonts w:ascii="Times New Roman" w:hAnsi="Times New Roman" w:cs="Times New Roman"/>
          <w:sz w:val="24"/>
          <w:szCs w:val="24"/>
        </w:rPr>
        <w:t>-</w:t>
      </w:r>
      <w:r w:rsidR="00A535FB">
        <w:rPr>
          <w:rFonts w:ascii="Times New Roman" w:hAnsi="Times New Roman" w:cs="Times New Roman"/>
          <w:sz w:val="24"/>
          <w:szCs w:val="24"/>
        </w:rPr>
        <w:t>3</w:t>
      </w:r>
      <w:r w:rsidR="00A535FB" w:rsidRPr="008F7DA5">
        <w:rPr>
          <w:rFonts w:ascii="Times New Roman" w:hAnsi="Times New Roman" w:cs="Times New Roman"/>
          <w:sz w:val="24"/>
          <w:szCs w:val="24"/>
        </w:rPr>
        <w:t xml:space="preserve"> </w:t>
      </w:r>
      <w:r w:rsidRPr="008F7DA5">
        <w:rPr>
          <w:rFonts w:ascii="Times New Roman" w:hAnsi="Times New Roman" w:cs="Times New Roman"/>
          <w:sz w:val="24"/>
          <w:szCs w:val="24"/>
        </w:rPr>
        <w:t>through CIP-009</w:t>
      </w:r>
      <w:r w:rsidR="00781D9E">
        <w:rPr>
          <w:rFonts w:ascii="Times New Roman" w:hAnsi="Times New Roman" w:cs="Times New Roman"/>
          <w:sz w:val="24"/>
          <w:szCs w:val="24"/>
        </w:rPr>
        <w:t>-</w:t>
      </w:r>
      <w:r w:rsidR="00A535FB">
        <w:rPr>
          <w:rFonts w:ascii="Times New Roman" w:hAnsi="Times New Roman" w:cs="Times New Roman"/>
          <w:sz w:val="24"/>
          <w:szCs w:val="24"/>
        </w:rPr>
        <w:t>3</w:t>
      </w:r>
      <w:r w:rsidR="00A535FB" w:rsidRPr="008F7DA5">
        <w:rPr>
          <w:rFonts w:ascii="Times New Roman" w:hAnsi="Times New Roman" w:cs="Times New Roman"/>
          <w:sz w:val="24"/>
          <w:szCs w:val="24"/>
        </w:rPr>
        <w:t xml:space="preserve"> </w:t>
      </w:r>
      <w:r w:rsidRPr="008F7DA5">
        <w:rPr>
          <w:rFonts w:ascii="Times New Roman" w:hAnsi="Times New Roman" w:cs="Times New Roman"/>
          <w:sz w:val="24"/>
          <w:szCs w:val="24"/>
        </w:rPr>
        <w:t>provide a cyber security framework for the identification and protection of Critical Cyber Assets to support reliable operation of the Bulk Electric System.</w:t>
      </w:r>
    </w:p>
    <w:p w:rsidR="00C57B75" w:rsidRPr="008F7DA5" w:rsidRDefault="00C57B75" w:rsidP="0078439E">
      <w:pPr>
        <w:pStyle w:val="ListNumber"/>
        <w:numPr>
          <w:ilvl w:val="0"/>
          <w:numId w:val="0"/>
        </w:numPr>
        <w:rPr>
          <w:rFonts w:ascii="Times New Roman" w:hAnsi="Times New Roman" w:cs="Times New Roman"/>
          <w:sz w:val="24"/>
          <w:szCs w:val="24"/>
        </w:rPr>
      </w:pPr>
    </w:p>
    <w:p w:rsidR="00A81D97" w:rsidRDefault="00A81D97" w:rsidP="0078439E">
      <w:pPr>
        <w:rPr>
          <w:rFonts w:ascii="Times New Roman" w:hAnsi="Times New Roman" w:cs="Times New Roman"/>
          <w:sz w:val="24"/>
          <w:szCs w:val="24"/>
        </w:rPr>
      </w:pPr>
      <w:r w:rsidRPr="00A81D97">
        <w:rPr>
          <w:rFonts w:ascii="Times New Roman" w:hAnsi="Times New Roman" w:cs="Times New Roman"/>
          <w:sz w:val="24"/>
          <w:szCs w:val="24"/>
        </w:rPr>
        <w:t>These standards recognize the differing roles of each entity in the operation of the Bulk Electric</w:t>
      </w:r>
      <w:r>
        <w:rPr>
          <w:rFonts w:ascii="Times New Roman" w:hAnsi="Times New Roman" w:cs="Times New Roman"/>
          <w:sz w:val="24"/>
          <w:szCs w:val="24"/>
        </w:rPr>
        <w:t xml:space="preserve"> </w:t>
      </w:r>
      <w:r w:rsidRPr="00A81D97">
        <w:rPr>
          <w:rFonts w:ascii="Times New Roman" w:hAnsi="Times New Roman" w:cs="Times New Roman"/>
          <w:sz w:val="24"/>
          <w:szCs w:val="24"/>
        </w:rPr>
        <w:t>System, the criticality and vulnerability of the assets needed to manage Bulk Electric System</w:t>
      </w:r>
      <w:r>
        <w:rPr>
          <w:rFonts w:ascii="Times New Roman" w:hAnsi="Times New Roman" w:cs="Times New Roman"/>
          <w:sz w:val="24"/>
          <w:szCs w:val="24"/>
        </w:rPr>
        <w:t xml:space="preserve"> </w:t>
      </w:r>
      <w:r w:rsidRPr="00A81D97">
        <w:rPr>
          <w:rFonts w:ascii="Times New Roman" w:hAnsi="Times New Roman" w:cs="Times New Roman"/>
          <w:sz w:val="24"/>
          <w:szCs w:val="24"/>
        </w:rPr>
        <w:t>reliability, and the risks to which they are exposed.</w:t>
      </w:r>
    </w:p>
    <w:p w:rsidR="00A81D97" w:rsidRPr="00A81D97" w:rsidRDefault="00A81D97" w:rsidP="0078439E">
      <w:pPr>
        <w:rPr>
          <w:rFonts w:ascii="Times New Roman" w:hAnsi="Times New Roman" w:cs="Times New Roman"/>
          <w:sz w:val="24"/>
          <w:szCs w:val="24"/>
        </w:rPr>
      </w:pPr>
    </w:p>
    <w:p w:rsidR="00A81D97" w:rsidRPr="00A81D97" w:rsidRDefault="00A81D97" w:rsidP="0078439E">
      <w:pPr>
        <w:rPr>
          <w:rFonts w:ascii="Times New Roman" w:hAnsi="Times New Roman" w:cs="Times New Roman"/>
          <w:sz w:val="24"/>
          <w:szCs w:val="24"/>
        </w:rPr>
      </w:pPr>
      <w:r w:rsidRPr="00A81D97">
        <w:rPr>
          <w:rFonts w:ascii="Times New Roman" w:hAnsi="Times New Roman" w:cs="Times New Roman"/>
          <w:sz w:val="24"/>
          <w:szCs w:val="24"/>
        </w:rPr>
        <w:t>Business and operational demands for managing and maintaining a reliable Bulk Electric</w:t>
      </w:r>
      <w:r>
        <w:rPr>
          <w:rFonts w:ascii="Times New Roman" w:hAnsi="Times New Roman" w:cs="Times New Roman"/>
          <w:sz w:val="24"/>
          <w:szCs w:val="24"/>
        </w:rPr>
        <w:t xml:space="preserve"> </w:t>
      </w:r>
      <w:r w:rsidRPr="00A81D97">
        <w:rPr>
          <w:rFonts w:ascii="Times New Roman" w:hAnsi="Times New Roman" w:cs="Times New Roman"/>
          <w:sz w:val="24"/>
          <w:szCs w:val="24"/>
        </w:rPr>
        <w:t>System increasingly rely on Cyber Assets supporting critical reliability functions and processes</w:t>
      </w:r>
      <w:r>
        <w:rPr>
          <w:rFonts w:ascii="Times New Roman" w:hAnsi="Times New Roman" w:cs="Times New Roman"/>
          <w:sz w:val="24"/>
          <w:szCs w:val="24"/>
        </w:rPr>
        <w:t xml:space="preserve"> </w:t>
      </w:r>
      <w:r w:rsidRPr="00A81D97">
        <w:rPr>
          <w:rFonts w:ascii="Times New Roman" w:hAnsi="Times New Roman" w:cs="Times New Roman"/>
          <w:sz w:val="24"/>
          <w:szCs w:val="24"/>
        </w:rPr>
        <w:t>to communicate with each other, across functions and organizations, for services and data. This</w:t>
      </w:r>
      <w:r>
        <w:rPr>
          <w:rFonts w:ascii="Times New Roman" w:hAnsi="Times New Roman" w:cs="Times New Roman"/>
          <w:sz w:val="24"/>
          <w:szCs w:val="24"/>
        </w:rPr>
        <w:t xml:space="preserve"> </w:t>
      </w:r>
      <w:r w:rsidRPr="00A81D97">
        <w:rPr>
          <w:rFonts w:ascii="Times New Roman" w:hAnsi="Times New Roman" w:cs="Times New Roman"/>
          <w:sz w:val="24"/>
          <w:szCs w:val="24"/>
        </w:rPr>
        <w:t>results in increased risks to these Cyber Assets.</w:t>
      </w:r>
    </w:p>
    <w:p w:rsidR="00A81D97" w:rsidRDefault="00A81D97" w:rsidP="0078439E">
      <w:pPr>
        <w:rPr>
          <w:rFonts w:ascii="Times New Roman" w:hAnsi="Times New Roman" w:cs="Times New Roman"/>
          <w:sz w:val="24"/>
          <w:szCs w:val="24"/>
        </w:rPr>
      </w:pPr>
    </w:p>
    <w:p w:rsidR="00C57B75" w:rsidRPr="00A81D97" w:rsidRDefault="00A81D97" w:rsidP="0078439E">
      <w:pPr>
        <w:rPr>
          <w:rFonts w:ascii="Times New Roman" w:hAnsi="Times New Roman" w:cs="Times New Roman"/>
          <w:b/>
          <w:sz w:val="24"/>
          <w:szCs w:val="24"/>
        </w:rPr>
      </w:pPr>
      <w:r w:rsidRPr="00A81D97">
        <w:rPr>
          <w:rFonts w:ascii="Times New Roman" w:hAnsi="Times New Roman" w:cs="Times New Roman"/>
          <w:sz w:val="24"/>
          <w:szCs w:val="24"/>
        </w:rPr>
        <w:t>Standard CIP-</w:t>
      </w:r>
      <w:r w:rsidR="00A535FB">
        <w:rPr>
          <w:rFonts w:ascii="Times New Roman" w:hAnsi="Times New Roman" w:cs="Times New Roman"/>
          <w:sz w:val="24"/>
          <w:szCs w:val="24"/>
        </w:rPr>
        <w:t>002-3</w:t>
      </w:r>
      <w:r w:rsidRPr="00A81D97">
        <w:rPr>
          <w:rFonts w:ascii="Times New Roman" w:hAnsi="Times New Roman" w:cs="Times New Roman"/>
          <w:sz w:val="24"/>
          <w:szCs w:val="24"/>
        </w:rPr>
        <w:t xml:space="preserve"> requires the identification and documentation of the Critical Cyber Assets</w:t>
      </w:r>
      <w:r>
        <w:rPr>
          <w:rFonts w:ascii="Times New Roman" w:hAnsi="Times New Roman" w:cs="Times New Roman"/>
          <w:sz w:val="24"/>
          <w:szCs w:val="24"/>
        </w:rPr>
        <w:t xml:space="preserve"> </w:t>
      </w:r>
      <w:r w:rsidRPr="00A81D97">
        <w:rPr>
          <w:rFonts w:ascii="Times New Roman" w:hAnsi="Times New Roman" w:cs="Times New Roman"/>
          <w:sz w:val="24"/>
          <w:szCs w:val="24"/>
        </w:rPr>
        <w:t>associated with the Critical Assets that support the reliable operation of the Bulk Electric</w:t>
      </w:r>
      <w:r>
        <w:rPr>
          <w:rFonts w:ascii="Times New Roman" w:hAnsi="Times New Roman" w:cs="Times New Roman"/>
          <w:sz w:val="24"/>
          <w:szCs w:val="24"/>
        </w:rPr>
        <w:t xml:space="preserve"> </w:t>
      </w:r>
      <w:r w:rsidRPr="00A81D97">
        <w:rPr>
          <w:rFonts w:ascii="Times New Roman" w:hAnsi="Times New Roman" w:cs="Times New Roman"/>
          <w:sz w:val="24"/>
          <w:szCs w:val="24"/>
        </w:rPr>
        <w:t>System. These Critical Assets are to be identified through the application of a risk-based</w:t>
      </w:r>
      <w:r>
        <w:rPr>
          <w:rFonts w:ascii="Times New Roman" w:hAnsi="Times New Roman" w:cs="Times New Roman"/>
          <w:sz w:val="24"/>
          <w:szCs w:val="24"/>
        </w:rPr>
        <w:t xml:space="preserve"> </w:t>
      </w:r>
      <w:r w:rsidRPr="00A81D97">
        <w:rPr>
          <w:rFonts w:ascii="Times New Roman" w:hAnsi="Times New Roman" w:cs="Times New Roman"/>
          <w:sz w:val="24"/>
          <w:szCs w:val="24"/>
        </w:rPr>
        <w:t>assessment.</w:t>
      </w:r>
    </w:p>
    <w:p w:rsidR="00934C50" w:rsidRPr="0078439E" w:rsidRDefault="00934C50" w:rsidP="0078439E">
      <w:pPr>
        <w:rPr>
          <w:rFonts w:ascii="Times New Roman" w:hAnsi="Times New Roman" w:cs="Times New Roman"/>
          <w:color w:val="365F91"/>
          <w:sz w:val="24"/>
          <w:szCs w:val="24"/>
        </w:rPr>
      </w:pPr>
    </w:p>
    <w:p w:rsidR="00EA0DED" w:rsidRPr="0078439E" w:rsidRDefault="00EA0DED" w:rsidP="0078439E">
      <w:pPr>
        <w:rPr>
          <w:rFonts w:ascii="Times New Roman" w:hAnsi="Times New Roman" w:cs="Times New Roman"/>
          <w:color w:val="365F91"/>
          <w:sz w:val="24"/>
          <w:szCs w:val="24"/>
        </w:rPr>
      </w:pPr>
    </w:p>
    <w:p w:rsidR="00D90AF9" w:rsidRPr="008F7DA5" w:rsidRDefault="00D90AF9" w:rsidP="0078439E">
      <w:pPr>
        <w:widowControl w:val="0"/>
        <w:rPr>
          <w:rFonts w:ascii="Times New Roman" w:hAnsi="Times New Roman" w:cs="Times New Roman"/>
          <w:b/>
          <w:bCs/>
          <w:color w:val="264D74"/>
          <w:sz w:val="24"/>
          <w:szCs w:val="24"/>
        </w:rPr>
      </w:pPr>
      <w:r w:rsidRPr="008F7DA5">
        <w:rPr>
          <w:rFonts w:ascii="Times New Roman" w:hAnsi="Times New Roman" w:cs="Times New Roman"/>
          <w:b/>
          <w:bCs/>
          <w:color w:val="264D74"/>
          <w:sz w:val="24"/>
          <w:szCs w:val="24"/>
        </w:rPr>
        <w:t>Applicability:</w:t>
      </w:r>
    </w:p>
    <w:p w:rsidR="00717420" w:rsidRPr="008F7DA5" w:rsidRDefault="00FD064E" w:rsidP="0078439E">
      <w:pPr>
        <w:numPr>
          <w:ilvl w:val="1"/>
          <w:numId w:val="0"/>
        </w:numPr>
        <w:autoSpaceDE/>
        <w:autoSpaceDN/>
        <w:adjustRightInd/>
        <w:rPr>
          <w:rFonts w:ascii="Times New Roman" w:hAnsi="Times New Roman" w:cs="Times New Roman"/>
          <w:sz w:val="24"/>
          <w:szCs w:val="24"/>
        </w:rPr>
      </w:pPr>
      <w:r w:rsidRPr="008F7DA5">
        <w:rPr>
          <w:rFonts w:ascii="Times New Roman" w:hAnsi="Times New Roman" w:cs="Times New Roman"/>
          <w:sz w:val="24"/>
          <w:szCs w:val="24"/>
        </w:rPr>
        <w:t>Within the text of Standard CIP-</w:t>
      </w:r>
      <w:r w:rsidR="00A535FB">
        <w:rPr>
          <w:rFonts w:ascii="Times New Roman" w:hAnsi="Times New Roman" w:cs="Times New Roman"/>
          <w:sz w:val="24"/>
          <w:szCs w:val="24"/>
        </w:rPr>
        <w:t>002-3</w:t>
      </w:r>
      <w:r w:rsidRPr="008F7DA5">
        <w:rPr>
          <w:rFonts w:ascii="Times New Roman" w:hAnsi="Times New Roman" w:cs="Times New Roman"/>
          <w:sz w:val="24"/>
          <w:szCs w:val="24"/>
        </w:rPr>
        <w:t>, “Responsible Entity” shall mean:</w:t>
      </w:r>
    </w:p>
    <w:p w:rsidR="00FD064E" w:rsidRPr="008F7DA5" w:rsidRDefault="00FD064E" w:rsidP="0078439E">
      <w:pPr>
        <w:pStyle w:val="ListNumber"/>
        <w:numPr>
          <w:ilvl w:val="0"/>
          <w:numId w:val="0"/>
        </w:numPr>
        <w:autoSpaceDE/>
        <w:autoSpaceDN/>
        <w:adjustRightInd/>
        <w:ind w:left="907"/>
        <w:rPr>
          <w:rFonts w:ascii="Times New Roman" w:hAnsi="Times New Roman" w:cs="Times New Roman"/>
          <w:b/>
          <w:sz w:val="24"/>
          <w:szCs w:val="24"/>
        </w:rPr>
      </w:pPr>
      <w:r w:rsidRPr="008F7DA5">
        <w:rPr>
          <w:rFonts w:ascii="Times New Roman" w:hAnsi="Times New Roman" w:cs="Times New Roman"/>
          <w:sz w:val="24"/>
          <w:szCs w:val="24"/>
        </w:rPr>
        <w:t>Reliability Coordinator</w:t>
      </w:r>
    </w:p>
    <w:p w:rsidR="00FD064E" w:rsidRPr="008F7DA5" w:rsidRDefault="00FD064E" w:rsidP="0078439E">
      <w:pPr>
        <w:pStyle w:val="ListNumber"/>
        <w:numPr>
          <w:ilvl w:val="0"/>
          <w:numId w:val="0"/>
        </w:numPr>
        <w:autoSpaceDE/>
        <w:autoSpaceDN/>
        <w:adjustRightInd/>
        <w:ind w:left="907"/>
        <w:rPr>
          <w:rFonts w:ascii="Times New Roman" w:hAnsi="Times New Roman" w:cs="Times New Roman"/>
          <w:b/>
          <w:sz w:val="24"/>
          <w:szCs w:val="24"/>
        </w:rPr>
      </w:pPr>
      <w:r w:rsidRPr="008F7DA5">
        <w:rPr>
          <w:rFonts w:ascii="Times New Roman" w:hAnsi="Times New Roman" w:cs="Times New Roman"/>
          <w:sz w:val="24"/>
          <w:szCs w:val="24"/>
        </w:rPr>
        <w:t>Balancing Authority</w:t>
      </w:r>
    </w:p>
    <w:p w:rsidR="00FD064E" w:rsidRPr="008F7DA5" w:rsidRDefault="00FD064E" w:rsidP="0078439E">
      <w:pPr>
        <w:pStyle w:val="ListNumber"/>
        <w:numPr>
          <w:ilvl w:val="0"/>
          <w:numId w:val="0"/>
        </w:numPr>
        <w:autoSpaceDE/>
        <w:autoSpaceDN/>
        <w:adjustRightInd/>
        <w:ind w:left="907"/>
        <w:rPr>
          <w:rFonts w:ascii="Times New Roman" w:hAnsi="Times New Roman" w:cs="Times New Roman"/>
          <w:b/>
          <w:sz w:val="24"/>
          <w:szCs w:val="24"/>
        </w:rPr>
      </w:pPr>
      <w:r w:rsidRPr="008F7DA5">
        <w:rPr>
          <w:rFonts w:ascii="Times New Roman" w:hAnsi="Times New Roman" w:cs="Times New Roman"/>
          <w:sz w:val="24"/>
          <w:szCs w:val="24"/>
        </w:rPr>
        <w:t>Interchange Authority</w:t>
      </w:r>
    </w:p>
    <w:p w:rsidR="00FD064E" w:rsidRPr="008F7DA5" w:rsidRDefault="00FD064E" w:rsidP="0078439E">
      <w:pPr>
        <w:pStyle w:val="ListNumber"/>
        <w:numPr>
          <w:ilvl w:val="0"/>
          <w:numId w:val="0"/>
        </w:numPr>
        <w:autoSpaceDE/>
        <w:autoSpaceDN/>
        <w:adjustRightInd/>
        <w:ind w:left="907"/>
        <w:rPr>
          <w:rFonts w:ascii="Times New Roman" w:hAnsi="Times New Roman" w:cs="Times New Roman"/>
          <w:b/>
          <w:sz w:val="24"/>
          <w:szCs w:val="24"/>
        </w:rPr>
      </w:pPr>
      <w:r w:rsidRPr="008F7DA5">
        <w:rPr>
          <w:rFonts w:ascii="Times New Roman" w:hAnsi="Times New Roman" w:cs="Times New Roman"/>
          <w:sz w:val="24"/>
          <w:szCs w:val="24"/>
        </w:rPr>
        <w:t>Transmission Service Provider</w:t>
      </w:r>
    </w:p>
    <w:p w:rsidR="00FD064E" w:rsidRPr="008F7DA5" w:rsidRDefault="00FD064E" w:rsidP="0078439E">
      <w:pPr>
        <w:pStyle w:val="ListNumber"/>
        <w:numPr>
          <w:ilvl w:val="0"/>
          <w:numId w:val="0"/>
        </w:numPr>
        <w:autoSpaceDE/>
        <w:autoSpaceDN/>
        <w:adjustRightInd/>
        <w:ind w:left="907"/>
        <w:rPr>
          <w:rFonts w:ascii="Times New Roman" w:hAnsi="Times New Roman" w:cs="Times New Roman"/>
          <w:b/>
          <w:sz w:val="24"/>
          <w:szCs w:val="24"/>
        </w:rPr>
      </w:pPr>
      <w:r w:rsidRPr="008F7DA5">
        <w:rPr>
          <w:rFonts w:ascii="Times New Roman" w:hAnsi="Times New Roman" w:cs="Times New Roman"/>
          <w:sz w:val="24"/>
          <w:szCs w:val="24"/>
        </w:rPr>
        <w:t>Transmission Owner</w:t>
      </w:r>
    </w:p>
    <w:p w:rsidR="00FD064E" w:rsidRPr="008F7DA5" w:rsidRDefault="00FD064E" w:rsidP="0078439E">
      <w:pPr>
        <w:pStyle w:val="ListNumber"/>
        <w:numPr>
          <w:ilvl w:val="0"/>
          <w:numId w:val="0"/>
        </w:numPr>
        <w:autoSpaceDE/>
        <w:autoSpaceDN/>
        <w:adjustRightInd/>
        <w:ind w:left="907"/>
        <w:rPr>
          <w:rFonts w:ascii="Times New Roman" w:hAnsi="Times New Roman" w:cs="Times New Roman"/>
          <w:b/>
          <w:sz w:val="24"/>
          <w:szCs w:val="24"/>
        </w:rPr>
      </w:pPr>
      <w:r w:rsidRPr="008F7DA5">
        <w:rPr>
          <w:rFonts w:ascii="Times New Roman" w:hAnsi="Times New Roman" w:cs="Times New Roman"/>
          <w:sz w:val="24"/>
          <w:szCs w:val="24"/>
        </w:rPr>
        <w:t>Transmission Operator</w:t>
      </w:r>
    </w:p>
    <w:p w:rsidR="00FD064E" w:rsidRPr="008F7DA5" w:rsidRDefault="00FD064E" w:rsidP="0078439E">
      <w:pPr>
        <w:pStyle w:val="ListNumber"/>
        <w:numPr>
          <w:ilvl w:val="0"/>
          <w:numId w:val="0"/>
        </w:numPr>
        <w:autoSpaceDE/>
        <w:autoSpaceDN/>
        <w:adjustRightInd/>
        <w:ind w:left="907"/>
        <w:rPr>
          <w:rFonts w:ascii="Times New Roman" w:hAnsi="Times New Roman" w:cs="Times New Roman"/>
          <w:b/>
          <w:sz w:val="24"/>
          <w:szCs w:val="24"/>
        </w:rPr>
      </w:pPr>
      <w:r w:rsidRPr="008F7DA5">
        <w:rPr>
          <w:rFonts w:ascii="Times New Roman" w:hAnsi="Times New Roman" w:cs="Times New Roman"/>
          <w:sz w:val="24"/>
          <w:szCs w:val="24"/>
        </w:rPr>
        <w:t>Generator Owner</w:t>
      </w:r>
    </w:p>
    <w:p w:rsidR="00FD064E" w:rsidRPr="008F7DA5" w:rsidRDefault="00FD064E" w:rsidP="0078439E">
      <w:pPr>
        <w:pStyle w:val="ListNumber"/>
        <w:numPr>
          <w:ilvl w:val="0"/>
          <w:numId w:val="0"/>
        </w:numPr>
        <w:autoSpaceDE/>
        <w:autoSpaceDN/>
        <w:adjustRightInd/>
        <w:ind w:left="907"/>
        <w:rPr>
          <w:rFonts w:ascii="Times New Roman" w:hAnsi="Times New Roman" w:cs="Times New Roman"/>
          <w:b/>
          <w:sz w:val="24"/>
          <w:szCs w:val="24"/>
        </w:rPr>
      </w:pPr>
      <w:r w:rsidRPr="008F7DA5">
        <w:rPr>
          <w:rFonts w:ascii="Times New Roman" w:hAnsi="Times New Roman" w:cs="Times New Roman"/>
          <w:sz w:val="24"/>
          <w:szCs w:val="24"/>
        </w:rPr>
        <w:t>Generator Operator</w:t>
      </w:r>
    </w:p>
    <w:p w:rsidR="00FD064E" w:rsidRPr="008F7DA5" w:rsidRDefault="00FD064E" w:rsidP="0078439E">
      <w:pPr>
        <w:pStyle w:val="ListNumber"/>
        <w:numPr>
          <w:ilvl w:val="0"/>
          <w:numId w:val="0"/>
        </w:numPr>
        <w:autoSpaceDE/>
        <w:autoSpaceDN/>
        <w:adjustRightInd/>
        <w:ind w:left="907"/>
        <w:rPr>
          <w:rFonts w:ascii="Times New Roman" w:hAnsi="Times New Roman" w:cs="Times New Roman"/>
          <w:b/>
          <w:sz w:val="24"/>
          <w:szCs w:val="24"/>
        </w:rPr>
      </w:pPr>
      <w:r w:rsidRPr="008F7DA5">
        <w:rPr>
          <w:rFonts w:ascii="Times New Roman" w:hAnsi="Times New Roman" w:cs="Times New Roman"/>
          <w:sz w:val="24"/>
          <w:szCs w:val="24"/>
        </w:rPr>
        <w:t>Load Serving Entity</w:t>
      </w:r>
    </w:p>
    <w:p w:rsidR="00FD064E" w:rsidRPr="008F7DA5" w:rsidRDefault="00FD064E" w:rsidP="0078439E">
      <w:pPr>
        <w:pStyle w:val="ListNumber"/>
        <w:numPr>
          <w:ilvl w:val="0"/>
          <w:numId w:val="0"/>
        </w:numPr>
        <w:autoSpaceDE/>
        <w:autoSpaceDN/>
        <w:adjustRightInd/>
        <w:ind w:left="907"/>
        <w:rPr>
          <w:rFonts w:ascii="Times New Roman" w:hAnsi="Times New Roman" w:cs="Times New Roman"/>
          <w:b/>
          <w:sz w:val="24"/>
          <w:szCs w:val="24"/>
        </w:rPr>
      </w:pPr>
      <w:r w:rsidRPr="008F7DA5">
        <w:rPr>
          <w:rFonts w:ascii="Times New Roman" w:hAnsi="Times New Roman" w:cs="Times New Roman"/>
          <w:sz w:val="24"/>
          <w:szCs w:val="24"/>
        </w:rPr>
        <w:t>NERC</w:t>
      </w:r>
    </w:p>
    <w:p w:rsidR="00FD064E" w:rsidRPr="008F7DA5" w:rsidRDefault="00FD064E" w:rsidP="0078439E">
      <w:pPr>
        <w:pStyle w:val="ListNumber"/>
        <w:numPr>
          <w:ilvl w:val="0"/>
          <w:numId w:val="0"/>
        </w:numPr>
        <w:autoSpaceDE/>
        <w:autoSpaceDN/>
        <w:adjustRightInd/>
        <w:ind w:left="907"/>
        <w:rPr>
          <w:rFonts w:ascii="Times New Roman" w:hAnsi="Times New Roman" w:cs="Times New Roman"/>
          <w:sz w:val="24"/>
          <w:szCs w:val="24"/>
        </w:rPr>
      </w:pPr>
      <w:r w:rsidRPr="008F7DA5">
        <w:rPr>
          <w:rFonts w:ascii="Times New Roman" w:hAnsi="Times New Roman" w:cs="Times New Roman"/>
          <w:sz w:val="24"/>
          <w:szCs w:val="24"/>
        </w:rPr>
        <w:t xml:space="preserve">Regional </w:t>
      </w:r>
      <w:r w:rsidR="00073091">
        <w:rPr>
          <w:rFonts w:ascii="Times New Roman" w:hAnsi="Times New Roman" w:cs="Times New Roman"/>
          <w:sz w:val="24"/>
          <w:szCs w:val="24"/>
        </w:rPr>
        <w:t>Entity</w:t>
      </w:r>
    </w:p>
    <w:p w:rsidR="0078439E" w:rsidRPr="0078439E" w:rsidRDefault="0078439E" w:rsidP="0078439E">
      <w:pPr>
        <w:rPr>
          <w:rFonts w:ascii="Times New Roman" w:hAnsi="Times New Roman" w:cs="Times New Roman"/>
          <w:color w:val="365F91"/>
          <w:sz w:val="24"/>
          <w:szCs w:val="24"/>
        </w:rPr>
      </w:pPr>
    </w:p>
    <w:p w:rsidR="0078439E" w:rsidRPr="0078439E" w:rsidRDefault="0078439E" w:rsidP="0078439E">
      <w:pPr>
        <w:rPr>
          <w:rFonts w:ascii="Times New Roman" w:hAnsi="Times New Roman" w:cs="Times New Roman"/>
          <w:color w:val="365F91"/>
          <w:sz w:val="24"/>
          <w:szCs w:val="24"/>
        </w:rPr>
      </w:pPr>
    </w:p>
    <w:p w:rsidR="00FD064E" w:rsidRPr="008F7DA5" w:rsidRDefault="00FD064E" w:rsidP="0078439E">
      <w:pPr>
        <w:pStyle w:val="ListNumber"/>
        <w:numPr>
          <w:ilvl w:val="0"/>
          <w:numId w:val="0"/>
        </w:numPr>
        <w:autoSpaceDE/>
        <w:autoSpaceDN/>
        <w:adjustRightInd/>
        <w:rPr>
          <w:rFonts w:ascii="Times New Roman" w:hAnsi="Times New Roman" w:cs="Times New Roman"/>
          <w:sz w:val="24"/>
          <w:szCs w:val="24"/>
        </w:rPr>
      </w:pPr>
      <w:r w:rsidRPr="008F7DA5">
        <w:rPr>
          <w:rFonts w:ascii="Times New Roman" w:hAnsi="Times New Roman" w:cs="Times New Roman"/>
          <w:sz w:val="24"/>
          <w:szCs w:val="24"/>
        </w:rPr>
        <w:t>The following are exempt from Standard CIP-</w:t>
      </w:r>
      <w:r w:rsidR="00A535FB">
        <w:rPr>
          <w:rFonts w:ascii="Times New Roman" w:hAnsi="Times New Roman" w:cs="Times New Roman"/>
          <w:sz w:val="24"/>
          <w:szCs w:val="24"/>
        </w:rPr>
        <w:t>002-3</w:t>
      </w:r>
      <w:r w:rsidRPr="008F7DA5">
        <w:rPr>
          <w:rFonts w:ascii="Times New Roman" w:hAnsi="Times New Roman" w:cs="Times New Roman"/>
          <w:sz w:val="24"/>
          <w:szCs w:val="24"/>
        </w:rPr>
        <w:t>:</w:t>
      </w:r>
    </w:p>
    <w:p w:rsidR="00FD064E" w:rsidRPr="008F7DA5" w:rsidRDefault="00FD064E" w:rsidP="0078439E">
      <w:pPr>
        <w:pStyle w:val="ListNumber"/>
        <w:numPr>
          <w:ilvl w:val="0"/>
          <w:numId w:val="0"/>
        </w:numPr>
        <w:autoSpaceDE/>
        <w:autoSpaceDN/>
        <w:adjustRightInd/>
        <w:ind w:left="1440"/>
        <w:rPr>
          <w:rFonts w:ascii="Times New Roman" w:hAnsi="Times New Roman" w:cs="Times New Roman"/>
          <w:b/>
          <w:sz w:val="24"/>
          <w:szCs w:val="24"/>
        </w:rPr>
      </w:pPr>
      <w:r w:rsidRPr="008F7DA5">
        <w:rPr>
          <w:rFonts w:ascii="Times New Roman" w:hAnsi="Times New Roman" w:cs="Times New Roman"/>
          <w:sz w:val="24"/>
          <w:szCs w:val="24"/>
        </w:rPr>
        <w:t>Facilities regulated by the U.S. Nuclear Regulatory Commission or the Canadian Nuclear Safety Commission.</w:t>
      </w:r>
    </w:p>
    <w:p w:rsidR="00FD064E" w:rsidRPr="008F7DA5" w:rsidRDefault="00FD064E" w:rsidP="0078439E">
      <w:pPr>
        <w:pStyle w:val="ListNumber"/>
        <w:numPr>
          <w:ilvl w:val="0"/>
          <w:numId w:val="0"/>
        </w:numPr>
        <w:autoSpaceDE/>
        <w:autoSpaceDN/>
        <w:adjustRightInd/>
        <w:ind w:left="1440"/>
        <w:rPr>
          <w:rFonts w:ascii="Times New Roman" w:hAnsi="Times New Roman" w:cs="Times New Roman"/>
          <w:b/>
          <w:sz w:val="24"/>
          <w:szCs w:val="24"/>
        </w:rPr>
      </w:pPr>
      <w:r w:rsidRPr="008F7DA5">
        <w:rPr>
          <w:rFonts w:ascii="Times New Roman" w:hAnsi="Times New Roman" w:cs="Times New Roman"/>
          <w:color w:val="000000"/>
          <w:sz w:val="24"/>
          <w:szCs w:val="24"/>
        </w:rPr>
        <w:t>Cyber Assets associated with communication networks and data communication links between discrete Electronic Security Perimeters.</w:t>
      </w:r>
    </w:p>
    <w:p w:rsidR="00631D1C" w:rsidRDefault="00631D1C" w:rsidP="0078439E">
      <w:pPr>
        <w:widowControl w:val="0"/>
        <w:rPr>
          <w:rFonts w:ascii="Times New Roman" w:hAnsi="Times New Roman" w:cs="Times New Roman"/>
          <w:color w:val="000000"/>
          <w:sz w:val="24"/>
          <w:szCs w:val="24"/>
        </w:rPr>
      </w:pPr>
    </w:p>
    <w:p w:rsidR="00D90AF9" w:rsidRPr="008F7DA5" w:rsidRDefault="00D90AF9" w:rsidP="0078439E">
      <w:pPr>
        <w:widowControl w:val="0"/>
        <w:rPr>
          <w:rFonts w:ascii="Times New Roman" w:hAnsi="Times New Roman" w:cs="Times New Roman"/>
          <w:sz w:val="24"/>
          <w:szCs w:val="24"/>
        </w:rPr>
      </w:pPr>
    </w:p>
    <w:p w:rsidR="00B350D8" w:rsidRPr="00F84CA0" w:rsidRDefault="00B350D8" w:rsidP="0078439E">
      <w:pPr>
        <w:widowControl w:val="0"/>
        <w:rPr>
          <w:rFonts w:ascii="Times New Roman" w:hAnsi="Times New Roman" w:cs="Times New Roman"/>
          <w:b/>
          <w:bCs/>
          <w:sz w:val="24"/>
          <w:szCs w:val="24"/>
        </w:rPr>
      </w:pPr>
      <w:r w:rsidRPr="00F84CA0">
        <w:rPr>
          <w:rFonts w:ascii="Times New Roman" w:hAnsi="Times New Roman" w:cs="Times New Roman"/>
          <w:b/>
          <w:bCs/>
          <w:sz w:val="24"/>
          <w:szCs w:val="24"/>
        </w:rPr>
        <w:t xml:space="preserve">NERC BOT Approval Date: </w:t>
      </w:r>
      <w:r>
        <w:rPr>
          <w:rFonts w:ascii="Times New Roman" w:hAnsi="Times New Roman" w:cs="Times New Roman"/>
          <w:b/>
          <w:bCs/>
          <w:sz w:val="24"/>
          <w:szCs w:val="24"/>
        </w:rPr>
        <w:t xml:space="preserve"> December 16, </w:t>
      </w:r>
      <w:r w:rsidRPr="00F84CA0">
        <w:rPr>
          <w:rFonts w:ascii="Times New Roman" w:hAnsi="Times New Roman" w:cs="Times New Roman"/>
          <w:b/>
          <w:bCs/>
          <w:sz w:val="24"/>
          <w:szCs w:val="24"/>
        </w:rPr>
        <w:t>2009</w:t>
      </w:r>
    </w:p>
    <w:p w:rsidR="00B350D8" w:rsidRPr="00F84CA0" w:rsidRDefault="00B350D8" w:rsidP="0078439E">
      <w:pPr>
        <w:widowControl w:val="0"/>
        <w:rPr>
          <w:rFonts w:ascii="Times New Roman" w:hAnsi="Times New Roman" w:cs="Times New Roman"/>
          <w:b/>
          <w:bCs/>
          <w:sz w:val="24"/>
          <w:szCs w:val="24"/>
        </w:rPr>
      </w:pPr>
      <w:r w:rsidRPr="00F84CA0">
        <w:rPr>
          <w:rFonts w:ascii="Times New Roman" w:hAnsi="Times New Roman" w:cs="Times New Roman"/>
          <w:b/>
          <w:bCs/>
          <w:sz w:val="24"/>
          <w:szCs w:val="24"/>
        </w:rPr>
        <w:t xml:space="preserve">FERC Approval Date: </w:t>
      </w:r>
      <w:r>
        <w:rPr>
          <w:rFonts w:ascii="Times New Roman" w:hAnsi="Times New Roman" w:cs="Times New Roman"/>
          <w:b/>
          <w:bCs/>
          <w:sz w:val="24"/>
          <w:szCs w:val="24"/>
        </w:rPr>
        <w:t xml:space="preserve"> </w:t>
      </w:r>
      <w:r w:rsidRPr="00AD3AC5">
        <w:rPr>
          <w:rFonts w:ascii="Times New Roman" w:hAnsi="Times New Roman" w:cs="Times New Roman"/>
          <w:b/>
          <w:bCs/>
          <w:sz w:val="24"/>
          <w:szCs w:val="24"/>
        </w:rPr>
        <w:t>March 31, 2010</w:t>
      </w:r>
      <w:r>
        <w:rPr>
          <w:rFonts w:ascii="Times New Roman" w:hAnsi="Times New Roman" w:cs="Times New Roman"/>
          <w:b/>
          <w:bCs/>
          <w:sz w:val="24"/>
          <w:szCs w:val="24"/>
        </w:rPr>
        <w:t xml:space="preserve"> </w:t>
      </w:r>
    </w:p>
    <w:p w:rsidR="00B350D8" w:rsidRPr="00F84CA0" w:rsidRDefault="00B350D8" w:rsidP="0078439E">
      <w:pPr>
        <w:widowControl w:val="0"/>
        <w:rPr>
          <w:rFonts w:ascii="Times New Roman" w:hAnsi="Times New Roman" w:cs="Times New Roman"/>
          <w:b/>
          <w:bCs/>
          <w:sz w:val="24"/>
          <w:szCs w:val="24"/>
        </w:rPr>
      </w:pPr>
      <w:r w:rsidRPr="00F84CA0">
        <w:rPr>
          <w:rFonts w:ascii="Times New Roman" w:hAnsi="Times New Roman" w:cs="Times New Roman"/>
          <w:b/>
          <w:bCs/>
          <w:sz w:val="24"/>
          <w:szCs w:val="24"/>
        </w:rPr>
        <w:t xml:space="preserve">Reliability Standard Enforcement Date in the United States: </w:t>
      </w:r>
      <w:r>
        <w:rPr>
          <w:rFonts w:ascii="Times New Roman" w:hAnsi="Times New Roman" w:cs="Times New Roman"/>
          <w:b/>
          <w:bCs/>
          <w:sz w:val="24"/>
          <w:szCs w:val="24"/>
        </w:rPr>
        <w:t xml:space="preserve"> October 1, </w:t>
      </w:r>
      <w:r w:rsidRPr="00F84CA0">
        <w:rPr>
          <w:rFonts w:ascii="Times New Roman" w:hAnsi="Times New Roman" w:cs="Times New Roman"/>
          <w:b/>
          <w:bCs/>
          <w:sz w:val="24"/>
          <w:szCs w:val="24"/>
        </w:rPr>
        <w:t>2010</w:t>
      </w:r>
    </w:p>
    <w:p w:rsidR="003D6757" w:rsidRPr="0078439E" w:rsidRDefault="003D6757" w:rsidP="0078439E">
      <w:pPr>
        <w:widowControl w:val="0"/>
        <w:rPr>
          <w:rFonts w:ascii="Times New Roman" w:hAnsi="Times New Roman" w:cs="Times New Roman"/>
          <w:bCs/>
          <w:sz w:val="24"/>
          <w:szCs w:val="24"/>
        </w:rPr>
      </w:pPr>
    </w:p>
    <w:p w:rsidR="00934C50" w:rsidRPr="0078439E" w:rsidRDefault="00934C50" w:rsidP="0078439E">
      <w:pPr>
        <w:widowControl w:val="0"/>
        <w:rPr>
          <w:rFonts w:ascii="Times New Roman" w:hAnsi="Times New Roman" w:cs="Times New Roman"/>
          <w:sz w:val="24"/>
          <w:szCs w:val="24"/>
        </w:rPr>
      </w:pPr>
    </w:p>
    <w:p w:rsidR="00D90AF9" w:rsidRPr="00C049BF" w:rsidRDefault="00934C50" w:rsidP="0078439E">
      <w:pPr>
        <w:widowControl w:val="0"/>
        <w:rPr>
          <w:rFonts w:ascii="Times New Roman" w:hAnsi="Times New Roman" w:cs="Times New Roman"/>
          <w:b/>
          <w:bCs/>
          <w:color w:val="264D74"/>
          <w:sz w:val="28"/>
          <w:szCs w:val="28"/>
        </w:rPr>
      </w:pPr>
      <w:r w:rsidRPr="00C049BF">
        <w:rPr>
          <w:rFonts w:ascii="Times New Roman" w:hAnsi="Times New Roman" w:cs="Times New Roman"/>
          <w:b/>
          <w:bCs/>
          <w:color w:val="264D74"/>
          <w:sz w:val="28"/>
          <w:szCs w:val="28"/>
        </w:rPr>
        <w:t>Requirements:</w:t>
      </w:r>
    </w:p>
    <w:p w:rsidR="002B6EB5" w:rsidRPr="008F7DA5" w:rsidRDefault="002B6EB5" w:rsidP="0078439E">
      <w:pPr>
        <w:ind w:left="990" w:hanging="540"/>
        <w:rPr>
          <w:rFonts w:ascii="Times New Roman" w:hAnsi="Times New Roman" w:cs="Times New Roman"/>
          <w:b/>
          <w:bCs/>
          <w:color w:val="264D74"/>
          <w:sz w:val="24"/>
          <w:szCs w:val="24"/>
        </w:rPr>
      </w:pPr>
    </w:p>
    <w:p w:rsidR="002B2A3F" w:rsidRPr="008F7DA5" w:rsidRDefault="002B2A3F" w:rsidP="0078439E">
      <w:pPr>
        <w:ind w:left="1170" w:hanging="630"/>
        <w:rPr>
          <w:rFonts w:ascii="Times New Roman" w:hAnsi="Times New Roman" w:cs="Times New Roman"/>
          <w:sz w:val="24"/>
          <w:szCs w:val="24"/>
        </w:rPr>
      </w:pPr>
      <w:r w:rsidRPr="008F7DA5">
        <w:rPr>
          <w:rFonts w:ascii="Times New Roman" w:hAnsi="Times New Roman" w:cs="Times New Roman"/>
          <w:b/>
          <w:bCs/>
          <w:sz w:val="24"/>
          <w:szCs w:val="24"/>
        </w:rPr>
        <w:t>R1.</w:t>
      </w:r>
      <w:r w:rsidR="0078439E">
        <w:rPr>
          <w:rFonts w:ascii="Times New Roman" w:hAnsi="Times New Roman" w:cs="Times New Roman"/>
          <w:b/>
          <w:bCs/>
          <w:sz w:val="24"/>
          <w:szCs w:val="24"/>
        </w:rPr>
        <w:tab/>
      </w:r>
      <w:r w:rsidRPr="008F7DA5">
        <w:rPr>
          <w:rFonts w:ascii="Times New Roman" w:hAnsi="Times New Roman" w:cs="Times New Roman"/>
          <w:sz w:val="24"/>
          <w:szCs w:val="24"/>
        </w:rPr>
        <w:t>Critical Asset Identification Method — The Responsible Entity shall identify and document a</w:t>
      </w:r>
      <w:r w:rsidR="00DE5A92" w:rsidRPr="008F7DA5">
        <w:rPr>
          <w:rFonts w:ascii="Times New Roman" w:hAnsi="Times New Roman" w:cs="Times New Roman"/>
          <w:sz w:val="24"/>
          <w:szCs w:val="24"/>
        </w:rPr>
        <w:t xml:space="preserve"> </w:t>
      </w:r>
      <w:r w:rsidRPr="008F7DA5">
        <w:rPr>
          <w:rFonts w:ascii="Times New Roman" w:hAnsi="Times New Roman" w:cs="Times New Roman"/>
          <w:sz w:val="24"/>
          <w:szCs w:val="24"/>
        </w:rPr>
        <w:t xml:space="preserve">risk-based assessment methodology to </w:t>
      </w:r>
      <w:r w:rsidR="00DE5A92" w:rsidRPr="008F7DA5">
        <w:rPr>
          <w:rFonts w:ascii="Times New Roman" w:hAnsi="Times New Roman" w:cs="Times New Roman"/>
          <w:sz w:val="24"/>
          <w:szCs w:val="24"/>
        </w:rPr>
        <w:t xml:space="preserve">be </w:t>
      </w:r>
      <w:r w:rsidRPr="008F7DA5">
        <w:rPr>
          <w:rFonts w:ascii="Times New Roman" w:hAnsi="Times New Roman" w:cs="Times New Roman"/>
          <w:sz w:val="24"/>
          <w:szCs w:val="24"/>
        </w:rPr>
        <w:t>use</w:t>
      </w:r>
      <w:r w:rsidR="00DE5A92" w:rsidRPr="008F7DA5">
        <w:rPr>
          <w:rFonts w:ascii="Times New Roman" w:hAnsi="Times New Roman" w:cs="Times New Roman"/>
          <w:sz w:val="24"/>
          <w:szCs w:val="24"/>
        </w:rPr>
        <w:t>d</w:t>
      </w:r>
      <w:r w:rsidRPr="008F7DA5">
        <w:rPr>
          <w:rFonts w:ascii="Times New Roman" w:hAnsi="Times New Roman" w:cs="Times New Roman"/>
          <w:sz w:val="24"/>
          <w:szCs w:val="24"/>
        </w:rPr>
        <w:t xml:space="preserve"> to identify its Critical Assets.</w:t>
      </w:r>
    </w:p>
    <w:p w:rsidR="002B2A3F" w:rsidRPr="008F7DA5" w:rsidRDefault="002B2A3F" w:rsidP="0078439E">
      <w:pPr>
        <w:ind w:left="990"/>
        <w:rPr>
          <w:rFonts w:ascii="Times New Roman" w:hAnsi="Times New Roman" w:cs="Times New Roman"/>
          <w:sz w:val="24"/>
          <w:szCs w:val="24"/>
        </w:rPr>
      </w:pPr>
    </w:p>
    <w:p w:rsidR="002B2A3F" w:rsidRPr="008F7DA5" w:rsidRDefault="002B2A3F" w:rsidP="0078439E">
      <w:pPr>
        <w:ind w:left="1890" w:hanging="720"/>
        <w:rPr>
          <w:rFonts w:ascii="Times New Roman" w:hAnsi="Times New Roman" w:cs="Times New Roman"/>
          <w:sz w:val="24"/>
          <w:szCs w:val="24"/>
        </w:rPr>
      </w:pPr>
      <w:r w:rsidRPr="008F7DA5">
        <w:rPr>
          <w:rFonts w:ascii="Times New Roman" w:hAnsi="Times New Roman" w:cs="Times New Roman"/>
          <w:b/>
          <w:bCs/>
          <w:sz w:val="24"/>
          <w:szCs w:val="24"/>
        </w:rPr>
        <w:t>R1.1.</w:t>
      </w:r>
      <w:r w:rsidR="0078439E">
        <w:rPr>
          <w:rFonts w:ascii="Times New Roman" w:hAnsi="Times New Roman" w:cs="Times New Roman"/>
          <w:b/>
          <w:bCs/>
          <w:sz w:val="24"/>
          <w:szCs w:val="24"/>
        </w:rPr>
        <w:tab/>
      </w:r>
      <w:r w:rsidRPr="008F7DA5">
        <w:rPr>
          <w:rFonts w:ascii="Times New Roman" w:hAnsi="Times New Roman" w:cs="Times New Roman"/>
          <w:sz w:val="24"/>
          <w:szCs w:val="24"/>
        </w:rPr>
        <w:t>The Responsible Entity shall maintain documentation describing its risk-based</w:t>
      </w:r>
      <w:r w:rsidR="002D7C54">
        <w:rPr>
          <w:rFonts w:ascii="Times New Roman" w:hAnsi="Times New Roman" w:cs="Times New Roman"/>
          <w:sz w:val="24"/>
          <w:szCs w:val="24"/>
        </w:rPr>
        <w:t xml:space="preserve"> </w:t>
      </w:r>
      <w:r w:rsidRPr="008F7DA5">
        <w:rPr>
          <w:rFonts w:ascii="Times New Roman" w:hAnsi="Times New Roman" w:cs="Times New Roman"/>
          <w:sz w:val="24"/>
          <w:szCs w:val="24"/>
        </w:rPr>
        <w:t>assessment methodology that includes procedures and evaluation criteria.</w:t>
      </w:r>
    </w:p>
    <w:p w:rsidR="002B2A3F" w:rsidRPr="008F7DA5" w:rsidRDefault="002B2A3F" w:rsidP="0078439E">
      <w:pPr>
        <w:ind w:left="1800" w:hanging="630"/>
        <w:rPr>
          <w:rFonts w:ascii="Times New Roman" w:hAnsi="Times New Roman" w:cs="Times New Roman"/>
          <w:sz w:val="24"/>
          <w:szCs w:val="24"/>
        </w:rPr>
      </w:pPr>
    </w:p>
    <w:p w:rsidR="002B2A3F" w:rsidRPr="008F7DA5" w:rsidRDefault="002B2A3F" w:rsidP="0078439E">
      <w:pPr>
        <w:ind w:left="1890" w:hanging="720"/>
        <w:rPr>
          <w:rFonts w:ascii="Times New Roman" w:hAnsi="Times New Roman" w:cs="Times New Roman"/>
          <w:sz w:val="24"/>
          <w:szCs w:val="24"/>
        </w:rPr>
      </w:pPr>
      <w:r w:rsidRPr="008F7DA5">
        <w:rPr>
          <w:rFonts w:ascii="Times New Roman" w:hAnsi="Times New Roman" w:cs="Times New Roman"/>
          <w:b/>
          <w:bCs/>
          <w:sz w:val="24"/>
          <w:szCs w:val="24"/>
        </w:rPr>
        <w:t>R1.2.</w:t>
      </w:r>
      <w:r w:rsidR="0078439E">
        <w:rPr>
          <w:rFonts w:ascii="Times New Roman" w:hAnsi="Times New Roman" w:cs="Times New Roman"/>
          <w:b/>
          <w:bCs/>
          <w:sz w:val="24"/>
          <w:szCs w:val="24"/>
        </w:rPr>
        <w:tab/>
      </w:r>
      <w:r w:rsidRPr="008F7DA5">
        <w:rPr>
          <w:rFonts w:ascii="Times New Roman" w:hAnsi="Times New Roman" w:cs="Times New Roman"/>
          <w:sz w:val="24"/>
          <w:szCs w:val="24"/>
        </w:rPr>
        <w:t>The risk-based assessment shall consider the following assets:</w:t>
      </w:r>
    </w:p>
    <w:p w:rsidR="002B2A3F" w:rsidRPr="008F7DA5" w:rsidRDefault="002B2A3F" w:rsidP="0078439E">
      <w:pPr>
        <w:ind w:left="990"/>
        <w:rPr>
          <w:rFonts w:ascii="Times New Roman" w:hAnsi="Times New Roman" w:cs="Times New Roman"/>
          <w:sz w:val="24"/>
          <w:szCs w:val="24"/>
        </w:rPr>
      </w:pPr>
    </w:p>
    <w:p w:rsidR="002B2A3F" w:rsidRPr="008F7DA5" w:rsidRDefault="002B2A3F" w:rsidP="0078439E">
      <w:pPr>
        <w:ind w:left="2790" w:hanging="900"/>
        <w:rPr>
          <w:rFonts w:ascii="Times New Roman" w:hAnsi="Times New Roman" w:cs="Times New Roman"/>
          <w:sz w:val="24"/>
          <w:szCs w:val="24"/>
        </w:rPr>
      </w:pPr>
      <w:r w:rsidRPr="008F7DA5">
        <w:rPr>
          <w:rFonts w:ascii="Times New Roman" w:hAnsi="Times New Roman" w:cs="Times New Roman"/>
          <w:b/>
          <w:bCs/>
          <w:sz w:val="24"/>
          <w:szCs w:val="24"/>
        </w:rPr>
        <w:t xml:space="preserve">R1.2.1. </w:t>
      </w:r>
      <w:r w:rsidR="0078439E">
        <w:rPr>
          <w:rFonts w:ascii="Times New Roman" w:hAnsi="Times New Roman" w:cs="Times New Roman"/>
          <w:b/>
          <w:bCs/>
          <w:sz w:val="24"/>
          <w:szCs w:val="24"/>
        </w:rPr>
        <w:tab/>
      </w:r>
      <w:r w:rsidRPr="008F7DA5">
        <w:rPr>
          <w:rFonts w:ascii="Times New Roman" w:hAnsi="Times New Roman" w:cs="Times New Roman"/>
          <w:sz w:val="24"/>
          <w:szCs w:val="24"/>
        </w:rPr>
        <w:t>Control centers and backup control centers performing the functions of the</w:t>
      </w:r>
      <w:r w:rsidR="002D7C54">
        <w:rPr>
          <w:rFonts w:ascii="Times New Roman" w:hAnsi="Times New Roman" w:cs="Times New Roman"/>
          <w:sz w:val="24"/>
          <w:szCs w:val="24"/>
        </w:rPr>
        <w:t xml:space="preserve"> </w:t>
      </w:r>
      <w:r w:rsidRPr="008F7DA5">
        <w:rPr>
          <w:rFonts w:ascii="Times New Roman" w:hAnsi="Times New Roman" w:cs="Times New Roman"/>
          <w:sz w:val="24"/>
          <w:szCs w:val="24"/>
        </w:rPr>
        <w:t>entities listed in the Applicability section of this standard.</w:t>
      </w:r>
    </w:p>
    <w:p w:rsidR="002B2A3F" w:rsidRPr="008F7DA5" w:rsidRDefault="002B2A3F" w:rsidP="0078439E">
      <w:pPr>
        <w:ind w:left="2790" w:hanging="900"/>
        <w:rPr>
          <w:rFonts w:ascii="Times New Roman" w:hAnsi="Times New Roman" w:cs="Times New Roman"/>
          <w:sz w:val="24"/>
          <w:szCs w:val="24"/>
        </w:rPr>
      </w:pPr>
    </w:p>
    <w:p w:rsidR="002B2A3F" w:rsidRPr="008F7DA5" w:rsidRDefault="002B2A3F" w:rsidP="0078439E">
      <w:pPr>
        <w:ind w:left="2790" w:hanging="900"/>
        <w:rPr>
          <w:rFonts w:ascii="Times New Roman" w:hAnsi="Times New Roman" w:cs="Times New Roman"/>
          <w:sz w:val="24"/>
          <w:szCs w:val="24"/>
        </w:rPr>
      </w:pPr>
      <w:r w:rsidRPr="008F7DA5">
        <w:rPr>
          <w:rFonts w:ascii="Times New Roman" w:hAnsi="Times New Roman" w:cs="Times New Roman"/>
          <w:b/>
          <w:bCs/>
          <w:sz w:val="24"/>
          <w:szCs w:val="24"/>
        </w:rPr>
        <w:t xml:space="preserve">R1.2.2. </w:t>
      </w:r>
      <w:r w:rsidR="0078439E">
        <w:rPr>
          <w:rFonts w:ascii="Times New Roman" w:hAnsi="Times New Roman" w:cs="Times New Roman"/>
          <w:b/>
          <w:bCs/>
          <w:sz w:val="24"/>
          <w:szCs w:val="24"/>
        </w:rPr>
        <w:tab/>
      </w:r>
      <w:r w:rsidRPr="008F7DA5">
        <w:rPr>
          <w:rFonts w:ascii="Times New Roman" w:hAnsi="Times New Roman" w:cs="Times New Roman"/>
          <w:sz w:val="24"/>
          <w:szCs w:val="24"/>
        </w:rPr>
        <w:t>Transmission substations that support the reliable operation of the Bulk</w:t>
      </w:r>
      <w:r w:rsidR="00E021D7">
        <w:rPr>
          <w:rFonts w:ascii="Times New Roman" w:hAnsi="Times New Roman" w:cs="Times New Roman"/>
          <w:sz w:val="24"/>
          <w:szCs w:val="24"/>
        </w:rPr>
        <w:t xml:space="preserve"> </w:t>
      </w:r>
      <w:r w:rsidRPr="008F7DA5">
        <w:rPr>
          <w:rFonts w:ascii="Times New Roman" w:hAnsi="Times New Roman" w:cs="Times New Roman"/>
          <w:sz w:val="24"/>
          <w:szCs w:val="24"/>
        </w:rPr>
        <w:t>Electric System.</w:t>
      </w:r>
    </w:p>
    <w:p w:rsidR="002B2A3F" w:rsidRPr="008F7DA5" w:rsidRDefault="002B2A3F" w:rsidP="0078439E">
      <w:pPr>
        <w:ind w:left="2790" w:hanging="900"/>
        <w:rPr>
          <w:rFonts w:ascii="Times New Roman" w:hAnsi="Times New Roman" w:cs="Times New Roman"/>
          <w:sz w:val="24"/>
          <w:szCs w:val="24"/>
        </w:rPr>
      </w:pPr>
    </w:p>
    <w:p w:rsidR="002B2A3F" w:rsidRPr="008F7DA5" w:rsidRDefault="002B2A3F" w:rsidP="0078439E">
      <w:pPr>
        <w:ind w:left="2790" w:hanging="900"/>
        <w:rPr>
          <w:rFonts w:ascii="Times New Roman" w:hAnsi="Times New Roman" w:cs="Times New Roman"/>
          <w:sz w:val="24"/>
          <w:szCs w:val="24"/>
        </w:rPr>
      </w:pPr>
      <w:r w:rsidRPr="008F7DA5">
        <w:rPr>
          <w:rFonts w:ascii="Times New Roman" w:hAnsi="Times New Roman" w:cs="Times New Roman"/>
          <w:b/>
          <w:bCs/>
          <w:sz w:val="24"/>
          <w:szCs w:val="24"/>
        </w:rPr>
        <w:t xml:space="preserve">R1.2.3. </w:t>
      </w:r>
      <w:r w:rsidR="0078439E">
        <w:rPr>
          <w:rFonts w:ascii="Times New Roman" w:hAnsi="Times New Roman" w:cs="Times New Roman"/>
          <w:b/>
          <w:bCs/>
          <w:sz w:val="24"/>
          <w:szCs w:val="24"/>
        </w:rPr>
        <w:tab/>
      </w:r>
      <w:r w:rsidRPr="008F7DA5">
        <w:rPr>
          <w:rFonts w:ascii="Times New Roman" w:hAnsi="Times New Roman" w:cs="Times New Roman"/>
          <w:sz w:val="24"/>
          <w:szCs w:val="24"/>
        </w:rPr>
        <w:t>Generation resources that support the reliable operation of the Bulk Electric</w:t>
      </w:r>
      <w:r w:rsidR="00E021D7">
        <w:rPr>
          <w:rFonts w:ascii="Times New Roman" w:hAnsi="Times New Roman" w:cs="Times New Roman"/>
          <w:sz w:val="24"/>
          <w:szCs w:val="24"/>
        </w:rPr>
        <w:t xml:space="preserve"> </w:t>
      </w:r>
      <w:r w:rsidRPr="008F7DA5">
        <w:rPr>
          <w:rFonts w:ascii="Times New Roman" w:hAnsi="Times New Roman" w:cs="Times New Roman"/>
          <w:sz w:val="24"/>
          <w:szCs w:val="24"/>
        </w:rPr>
        <w:t>System.</w:t>
      </w:r>
    </w:p>
    <w:p w:rsidR="002B2A3F" w:rsidRPr="008F7DA5" w:rsidRDefault="002B2A3F" w:rsidP="0078439E">
      <w:pPr>
        <w:ind w:left="2790" w:hanging="900"/>
        <w:rPr>
          <w:rFonts w:ascii="Times New Roman" w:hAnsi="Times New Roman" w:cs="Times New Roman"/>
          <w:sz w:val="24"/>
          <w:szCs w:val="24"/>
        </w:rPr>
      </w:pPr>
    </w:p>
    <w:p w:rsidR="002B2A3F" w:rsidRPr="008F7DA5" w:rsidRDefault="002B2A3F" w:rsidP="0078439E">
      <w:pPr>
        <w:ind w:left="2790" w:hanging="900"/>
        <w:rPr>
          <w:rFonts w:ascii="Times New Roman" w:hAnsi="Times New Roman" w:cs="Times New Roman"/>
          <w:sz w:val="24"/>
          <w:szCs w:val="24"/>
        </w:rPr>
      </w:pPr>
      <w:r w:rsidRPr="008F7DA5">
        <w:rPr>
          <w:rFonts w:ascii="Times New Roman" w:hAnsi="Times New Roman" w:cs="Times New Roman"/>
          <w:b/>
          <w:bCs/>
          <w:sz w:val="24"/>
          <w:szCs w:val="24"/>
        </w:rPr>
        <w:t>R1.2.4.</w:t>
      </w:r>
      <w:r w:rsidR="0078439E">
        <w:rPr>
          <w:rFonts w:ascii="Times New Roman" w:hAnsi="Times New Roman" w:cs="Times New Roman"/>
          <w:b/>
          <w:bCs/>
          <w:sz w:val="24"/>
          <w:szCs w:val="24"/>
        </w:rPr>
        <w:tab/>
      </w:r>
      <w:r w:rsidRPr="008F7DA5">
        <w:rPr>
          <w:rFonts w:ascii="Times New Roman" w:hAnsi="Times New Roman" w:cs="Times New Roman"/>
          <w:sz w:val="24"/>
          <w:szCs w:val="24"/>
        </w:rPr>
        <w:t>Systems and facilities critical to system restoration, including blackstart</w:t>
      </w:r>
      <w:r w:rsidR="00E021D7">
        <w:rPr>
          <w:rFonts w:ascii="Times New Roman" w:hAnsi="Times New Roman" w:cs="Times New Roman"/>
          <w:sz w:val="24"/>
          <w:szCs w:val="24"/>
        </w:rPr>
        <w:t xml:space="preserve"> </w:t>
      </w:r>
      <w:r w:rsidRPr="008F7DA5">
        <w:rPr>
          <w:rFonts w:ascii="Times New Roman" w:hAnsi="Times New Roman" w:cs="Times New Roman"/>
          <w:sz w:val="24"/>
          <w:szCs w:val="24"/>
        </w:rPr>
        <w:t>generators and substations in the electrical path of transmission lines used</w:t>
      </w:r>
      <w:r w:rsidR="00E021D7">
        <w:rPr>
          <w:rFonts w:ascii="Times New Roman" w:hAnsi="Times New Roman" w:cs="Times New Roman"/>
          <w:sz w:val="24"/>
          <w:szCs w:val="24"/>
        </w:rPr>
        <w:t xml:space="preserve"> </w:t>
      </w:r>
      <w:r w:rsidRPr="008F7DA5">
        <w:rPr>
          <w:rFonts w:ascii="Times New Roman" w:hAnsi="Times New Roman" w:cs="Times New Roman"/>
          <w:sz w:val="24"/>
          <w:szCs w:val="24"/>
        </w:rPr>
        <w:t>for initial system restoration.</w:t>
      </w:r>
    </w:p>
    <w:p w:rsidR="002B2A3F" w:rsidRPr="008F7DA5" w:rsidRDefault="002B2A3F" w:rsidP="0078439E">
      <w:pPr>
        <w:ind w:left="2790" w:hanging="900"/>
        <w:rPr>
          <w:rFonts w:ascii="Times New Roman" w:hAnsi="Times New Roman" w:cs="Times New Roman"/>
          <w:sz w:val="24"/>
          <w:szCs w:val="24"/>
        </w:rPr>
      </w:pPr>
    </w:p>
    <w:p w:rsidR="002B2A3F" w:rsidRPr="008F7DA5" w:rsidRDefault="002B2A3F" w:rsidP="0078439E">
      <w:pPr>
        <w:ind w:left="2790" w:hanging="900"/>
        <w:rPr>
          <w:rFonts w:ascii="Times New Roman" w:hAnsi="Times New Roman" w:cs="Times New Roman"/>
          <w:sz w:val="24"/>
          <w:szCs w:val="24"/>
        </w:rPr>
      </w:pPr>
      <w:r w:rsidRPr="008F7DA5">
        <w:rPr>
          <w:rFonts w:ascii="Times New Roman" w:hAnsi="Times New Roman" w:cs="Times New Roman"/>
          <w:b/>
          <w:bCs/>
          <w:sz w:val="24"/>
          <w:szCs w:val="24"/>
        </w:rPr>
        <w:t>R1.2.5.</w:t>
      </w:r>
      <w:r w:rsidR="0078439E">
        <w:rPr>
          <w:rFonts w:ascii="Times New Roman" w:hAnsi="Times New Roman" w:cs="Times New Roman"/>
          <w:b/>
          <w:bCs/>
          <w:sz w:val="24"/>
          <w:szCs w:val="24"/>
        </w:rPr>
        <w:tab/>
      </w:r>
      <w:r w:rsidRPr="008F7DA5">
        <w:rPr>
          <w:rFonts w:ascii="Times New Roman" w:hAnsi="Times New Roman" w:cs="Times New Roman"/>
          <w:sz w:val="24"/>
          <w:szCs w:val="24"/>
        </w:rPr>
        <w:t>Systems and facilities critical to automatic load shedding under a common</w:t>
      </w:r>
      <w:r w:rsidR="00E021D7">
        <w:rPr>
          <w:rFonts w:ascii="Times New Roman" w:hAnsi="Times New Roman" w:cs="Times New Roman"/>
          <w:sz w:val="24"/>
          <w:szCs w:val="24"/>
        </w:rPr>
        <w:t xml:space="preserve"> </w:t>
      </w:r>
      <w:r w:rsidRPr="008F7DA5">
        <w:rPr>
          <w:rFonts w:ascii="Times New Roman" w:hAnsi="Times New Roman" w:cs="Times New Roman"/>
          <w:sz w:val="24"/>
          <w:szCs w:val="24"/>
        </w:rPr>
        <w:t>control system capable of shedding 300 MW or more.</w:t>
      </w:r>
    </w:p>
    <w:p w:rsidR="002B2A3F" w:rsidRPr="008F7DA5" w:rsidRDefault="002B2A3F" w:rsidP="0078439E">
      <w:pPr>
        <w:ind w:left="2790" w:hanging="900"/>
        <w:rPr>
          <w:rFonts w:ascii="Times New Roman" w:hAnsi="Times New Roman" w:cs="Times New Roman"/>
          <w:sz w:val="24"/>
          <w:szCs w:val="24"/>
        </w:rPr>
      </w:pPr>
    </w:p>
    <w:p w:rsidR="002B2A3F" w:rsidRPr="008F7DA5" w:rsidRDefault="002B2A3F" w:rsidP="0078439E">
      <w:pPr>
        <w:ind w:left="2790" w:hanging="900"/>
        <w:rPr>
          <w:rFonts w:ascii="Times New Roman" w:hAnsi="Times New Roman" w:cs="Times New Roman"/>
          <w:sz w:val="24"/>
          <w:szCs w:val="24"/>
        </w:rPr>
      </w:pPr>
      <w:r w:rsidRPr="008F7DA5">
        <w:rPr>
          <w:rFonts w:ascii="Times New Roman" w:hAnsi="Times New Roman" w:cs="Times New Roman"/>
          <w:b/>
          <w:bCs/>
          <w:sz w:val="24"/>
          <w:szCs w:val="24"/>
        </w:rPr>
        <w:t>R1.2.6.</w:t>
      </w:r>
      <w:r w:rsidR="0078439E">
        <w:rPr>
          <w:rFonts w:ascii="Times New Roman" w:hAnsi="Times New Roman" w:cs="Times New Roman"/>
          <w:b/>
          <w:bCs/>
          <w:sz w:val="24"/>
          <w:szCs w:val="24"/>
        </w:rPr>
        <w:tab/>
      </w:r>
      <w:r w:rsidRPr="008F7DA5">
        <w:rPr>
          <w:rFonts w:ascii="Times New Roman" w:hAnsi="Times New Roman" w:cs="Times New Roman"/>
          <w:sz w:val="24"/>
          <w:szCs w:val="24"/>
        </w:rPr>
        <w:t>Special Protection Systems that support the reliable operation of the Bulk</w:t>
      </w:r>
      <w:r w:rsidR="00E021D7">
        <w:rPr>
          <w:rFonts w:ascii="Times New Roman" w:hAnsi="Times New Roman" w:cs="Times New Roman"/>
          <w:sz w:val="24"/>
          <w:szCs w:val="24"/>
        </w:rPr>
        <w:t xml:space="preserve"> </w:t>
      </w:r>
      <w:r w:rsidRPr="008F7DA5">
        <w:rPr>
          <w:rFonts w:ascii="Times New Roman" w:hAnsi="Times New Roman" w:cs="Times New Roman"/>
          <w:sz w:val="24"/>
          <w:szCs w:val="24"/>
        </w:rPr>
        <w:t>Electric System.</w:t>
      </w:r>
    </w:p>
    <w:p w:rsidR="002B2A3F" w:rsidRPr="008F7DA5" w:rsidRDefault="002B2A3F" w:rsidP="0078439E">
      <w:pPr>
        <w:ind w:left="2790" w:hanging="900"/>
        <w:rPr>
          <w:rFonts w:ascii="Times New Roman" w:hAnsi="Times New Roman" w:cs="Times New Roman"/>
          <w:sz w:val="24"/>
          <w:szCs w:val="24"/>
        </w:rPr>
      </w:pPr>
    </w:p>
    <w:p w:rsidR="002B2A3F" w:rsidRDefault="002B2A3F" w:rsidP="0078439E">
      <w:pPr>
        <w:ind w:left="2790" w:hanging="900"/>
        <w:rPr>
          <w:rFonts w:ascii="Times New Roman" w:hAnsi="Times New Roman" w:cs="Times New Roman"/>
          <w:sz w:val="24"/>
          <w:szCs w:val="24"/>
        </w:rPr>
      </w:pPr>
      <w:r w:rsidRPr="008F7DA5">
        <w:rPr>
          <w:rFonts w:ascii="Times New Roman" w:hAnsi="Times New Roman" w:cs="Times New Roman"/>
          <w:b/>
          <w:bCs/>
          <w:sz w:val="24"/>
          <w:szCs w:val="24"/>
        </w:rPr>
        <w:t>R1.2.7.</w:t>
      </w:r>
      <w:r w:rsidR="0078439E">
        <w:rPr>
          <w:rFonts w:ascii="Times New Roman" w:hAnsi="Times New Roman" w:cs="Times New Roman"/>
          <w:b/>
          <w:bCs/>
          <w:sz w:val="24"/>
          <w:szCs w:val="24"/>
        </w:rPr>
        <w:tab/>
      </w:r>
      <w:r w:rsidRPr="008F7DA5">
        <w:rPr>
          <w:rFonts w:ascii="Times New Roman" w:hAnsi="Times New Roman" w:cs="Times New Roman"/>
          <w:sz w:val="24"/>
          <w:szCs w:val="24"/>
        </w:rPr>
        <w:t>Any additional assets that support the reliable operation of the Bulk Electric</w:t>
      </w:r>
      <w:r w:rsidR="00E021D7">
        <w:rPr>
          <w:rFonts w:ascii="Times New Roman" w:hAnsi="Times New Roman" w:cs="Times New Roman"/>
          <w:sz w:val="24"/>
          <w:szCs w:val="24"/>
        </w:rPr>
        <w:t xml:space="preserve"> </w:t>
      </w:r>
      <w:r w:rsidRPr="008F7DA5">
        <w:rPr>
          <w:rFonts w:ascii="Times New Roman" w:hAnsi="Times New Roman" w:cs="Times New Roman"/>
          <w:sz w:val="24"/>
          <w:szCs w:val="24"/>
        </w:rPr>
        <w:t>System that the Responsible Entity deems appropriate to include in its assessment.</w:t>
      </w:r>
    </w:p>
    <w:p w:rsidR="00865C80" w:rsidRPr="008F7DA5" w:rsidRDefault="00865C80" w:rsidP="00865C80">
      <w:pPr>
        <w:rPr>
          <w:rFonts w:ascii="Times New Roman" w:hAnsi="Times New Roman" w:cs="Times New Roman"/>
          <w:sz w:val="24"/>
          <w:szCs w:val="24"/>
        </w:rPr>
      </w:pPr>
    </w:p>
    <w:p w:rsidR="00F226F6" w:rsidRDefault="00F226F6" w:rsidP="0078439E">
      <w:pPr>
        <w:widowControl w:val="0"/>
        <w:ind w:left="720"/>
        <w:rPr>
          <w:rFonts w:ascii="Times New Roman" w:hAnsi="Times New Roman" w:cs="Times New Roman"/>
          <w:b/>
          <w:bCs/>
          <w:i/>
          <w:iCs/>
          <w:color w:val="000000"/>
          <w:sz w:val="24"/>
          <w:szCs w:val="24"/>
        </w:rPr>
      </w:pPr>
      <w:r>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F226F6" w:rsidRDefault="00F226F6" w:rsidP="0078439E">
      <w:pPr>
        <w:widowControl w:val="0"/>
        <w:ind w:left="720"/>
        <w:rPr>
          <w:rFonts w:ascii="Times New Roman" w:hAnsi="Times New Roman" w:cs="Times New Roman"/>
          <w:sz w:val="24"/>
          <w:szCs w:val="24"/>
        </w:rPr>
      </w:pPr>
    </w:p>
    <w:p w:rsidR="00F226F6" w:rsidRDefault="00F226F6" w:rsidP="0078439E">
      <w:pPr>
        <w:widowControl w:val="0"/>
        <w:shd w:val="clear" w:color="auto" w:fill="D3DCE9"/>
        <w:ind w:left="720"/>
        <w:rPr>
          <w:rFonts w:ascii="Times New Roman" w:hAnsi="Times New Roman" w:cs="Times New Roman"/>
          <w:bCs/>
          <w:color w:val="264D74"/>
          <w:sz w:val="24"/>
          <w:szCs w:val="24"/>
        </w:rPr>
      </w:pPr>
    </w:p>
    <w:p w:rsidR="00F226F6" w:rsidRDefault="00F226F6" w:rsidP="0078439E">
      <w:pPr>
        <w:widowControl w:val="0"/>
        <w:shd w:val="clear" w:color="auto" w:fill="D3DCE9"/>
        <w:ind w:left="720"/>
        <w:rPr>
          <w:rFonts w:ascii="Times New Roman" w:hAnsi="Times New Roman" w:cs="Times New Roman"/>
          <w:bCs/>
          <w:color w:val="264D74"/>
          <w:sz w:val="24"/>
          <w:szCs w:val="24"/>
        </w:rPr>
      </w:pPr>
    </w:p>
    <w:p w:rsidR="007220C8" w:rsidRDefault="007220C8" w:rsidP="0078439E">
      <w:pPr>
        <w:autoSpaceDE/>
        <w:autoSpaceDN/>
        <w:adjustRightInd/>
        <w:rPr>
          <w:rFonts w:ascii="Times New Roman" w:hAnsi="Times New Roman" w:cs="Times New Roman"/>
          <w:sz w:val="24"/>
          <w:szCs w:val="24"/>
        </w:rPr>
      </w:pPr>
    </w:p>
    <w:p w:rsidR="00F226F6" w:rsidRPr="009A78BE" w:rsidRDefault="00F226F6" w:rsidP="0078439E">
      <w:pPr>
        <w:autoSpaceDE/>
        <w:autoSpaceDN/>
        <w:adjustRightInd/>
        <w:rPr>
          <w:rFonts w:ascii="Times New Roman" w:hAnsi="Times New Roman" w:cs="Times New Roman"/>
          <w:sz w:val="24"/>
          <w:szCs w:val="24"/>
        </w:rPr>
      </w:pPr>
    </w:p>
    <w:p w:rsidR="00F226F6" w:rsidRPr="008F7DA5" w:rsidRDefault="00F226F6" w:rsidP="0078439E">
      <w:pPr>
        <w:widowControl w:val="0"/>
        <w:rPr>
          <w:rFonts w:ascii="Times New Roman" w:hAnsi="Times New Roman" w:cs="Times New Roman"/>
          <w:b/>
          <w:bCs/>
          <w:color w:val="C00000"/>
          <w:sz w:val="24"/>
          <w:szCs w:val="24"/>
        </w:rPr>
      </w:pPr>
      <w:r w:rsidRPr="008F7DA5">
        <w:rPr>
          <w:rFonts w:ascii="Times New Roman" w:hAnsi="Times New Roman" w:cs="Times New Roman"/>
          <w:b/>
          <w:i/>
          <w:iCs/>
          <w:color w:val="C00000"/>
          <w:sz w:val="24"/>
          <w:szCs w:val="24"/>
        </w:rPr>
        <w:t>This section must be completed by the Compliance Enforcement Authority.</w:t>
      </w:r>
    </w:p>
    <w:p w:rsidR="00F226F6" w:rsidRPr="008F7DA5" w:rsidRDefault="00F226F6" w:rsidP="0078439E">
      <w:pPr>
        <w:widowControl w:val="0"/>
        <w:rPr>
          <w:rFonts w:ascii="Times New Roman" w:hAnsi="Times New Roman" w:cs="Times New Roman"/>
          <w:b/>
          <w:bCs/>
          <w:color w:val="264D74"/>
          <w:sz w:val="24"/>
          <w:szCs w:val="24"/>
        </w:rPr>
      </w:pPr>
    </w:p>
    <w:p w:rsidR="00F226F6" w:rsidRPr="008F7DA5" w:rsidRDefault="00F226F6" w:rsidP="0078439E">
      <w:pPr>
        <w:widowControl w:val="0"/>
        <w:rPr>
          <w:rFonts w:ascii="Times New Roman" w:hAnsi="Times New Roman" w:cs="Times New Roman"/>
          <w:b/>
          <w:bCs/>
          <w:color w:val="264D74"/>
          <w:sz w:val="24"/>
          <w:szCs w:val="24"/>
        </w:rPr>
      </w:pPr>
      <w:r w:rsidRPr="008F7DA5">
        <w:rPr>
          <w:rFonts w:ascii="Times New Roman" w:hAnsi="Times New Roman" w:cs="Times New Roman"/>
          <w:b/>
          <w:bCs/>
          <w:color w:val="264D74"/>
          <w:sz w:val="24"/>
          <w:szCs w:val="24"/>
        </w:rPr>
        <w:t>Compliance Assessment Approach Specific to CIP-</w:t>
      </w:r>
      <w:r w:rsidR="00A535FB">
        <w:rPr>
          <w:rFonts w:ascii="Times New Roman" w:hAnsi="Times New Roman" w:cs="Times New Roman"/>
          <w:b/>
          <w:bCs/>
          <w:color w:val="264D74"/>
          <w:sz w:val="24"/>
          <w:szCs w:val="24"/>
        </w:rPr>
        <w:t>002-3</w:t>
      </w:r>
      <w:r w:rsidRPr="008F7DA5">
        <w:rPr>
          <w:rFonts w:ascii="Times New Roman" w:hAnsi="Times New Roman" w:cs="Times New Roman"/>
          <w:b/>
          <w:bCs/>
          <w:color w:val="264D74"/>
          <w:sz w:val="24"/>
          <w:szCs w:val="24"/>
        </w:rPr>
        <w:t xml:space="preserve"> R1.</w:t>
      </w:r>
    </w:p>
    <w:p w:rsidR="00F226F6" w:rsidRPr="008F7DA5" w:rsidRDefault="00F226F6" w:rsidP="0078439E">
      <w:pPr>
        <w:ind w:left="1620" w:hanging="1350"/>
        <w:rPr>
          <w:rFonts w:ascii="Times New Roman" w:hAnsi="Times New Roman" w:cs="Times New Roman"/>
          <w:sz w:val="24"/>
          <w:szCs w:val="24"/>
        </w:rPr>
      </w:pPr>
    </w:p>
    <w:p w:rsidR="00F226F6" w:rsidRPr="00A30CC2" w:rsidRDefault="009A78BE" w:rsidP="009A78BE">
      <w:pPr>
        <w:widowControl w:val="0"/>
        <w:ind w:left="1350" w:hanging="630"/>
        <w:rPr>
          <w:rFonts w:ascii="Times New Roman" w:hAnsi="Times New Roman" w:cs="Times New Roman"/>
          <w:color w:val="365F91"/>
          <w:sz w:val="24"/>
          <w:szCs w:val="24"/>
        </w:rPr>
      </w:pPr>
      <w:r w:rsidRPr="009A78BE">
        <w:rPr>
          <w:rFonts w:ascii="Times New Roman" w:hAnsi="Times New Roman" w:cs="Times New Roman"/>
          <w:b/>
          <w:color w:val="365F91"/>
          <w:sz w:val="24"/>
          <w:szCs w:val="24"/>
        </w:rPr>
        <w:t>____</w:t>
      </w:r>
      <w:r>
        <w:rPr>
          <w:rFonts w:ascii="Times New Roman" w:hAnsi="Times New Roman" w:cs="Times New Roman"/>
          <w:color w:val="365F91"/>
          <w:sz w:val="24"/>
          <w:szCs w:val="24"/>
        </w:rPr>
        <w:tab/>
      </w:r>
      <w:r w:rsidR="00F226F6" w:rsidRPr="00A30CC2">
        <w:rPr>
          <w:rFonts w:ascii="Times New Roman" w:hAnsi="Times New Roman" w:cs="Times New Roman"/>
          <w:color w:val="365F91"/>
          <w:sz w:val="24"/>
          <w:szCs w:val="24"/>
        </w:rPr>
        <w:t xml:space="preserve">Review the </w:t>
      </w:r>
      <w:r w:rsidR="00A670B8">
        <w:rPr>
          <w:rFonts w:ascii="Times New Roman" w:hAnsi="Times New Roman" w:cs="Times New Roman"/>
          <w:color w:val="365F91"/>
          <w:sz w:val="24"/>
          <w:szCs w:val="24"/>
        </w:rPr>
        <w:t>Responsible</w:t>
      </w:r>
      <w:r w:rsidR="00F226F6" w:rsidRPr="00A30CC2">
        <w:rPr>
          <w:rFonts w:ascii="Times New Roman" w:hAnsi="Times New Roman" w:cs="Times New Roman"/>
          <w:color w:val="365F91"/>
          <w:sz w:val="24"/>
          <w:szCs w:val="24"/>
        </w:rPr>
        <w:t xml:space="preserve"> Entity’s documentation describing its risk</w:t>
      </w:r>
      <w:r w:rsidR="00F226F6" w:rsidRPr="00A30CC2">
        <w:rPr>
          <w:rFonts w:ascii="Times New Roman" w:hAnsi="Times New Roman" w:cs="Times New Roman"/>
          <w:color w:val="365F91"/>
          <w:sz w:val="24"/>
          <w:szCs w:val="24"/>
        </w:rPr>
        <w:noBreakHyphen/>
        <w:t xml:space="preserve">based assessment methodology. </w:t>
      </w:r>
      <w:r>
        <w:rPr>
          <w:rFonts w:ascii="Times New Roman" w:hAnsi="Times New Roman" w:cs="Times New Roman"/>
          <w:color w:val="365F91"/>
          <w:sz w:val="24"/>
          <w:szCs w:val="24"/>
        </w:rPr>
        <w:t xml:space="preserve"> </w:t>
      </w:r>
      <w:r w:rsidR="00F226F6" w:rsidRPr="00A30CC2">
        <w:rPr>
          <w:rFonts w:ascii="Times New Roman" w:hAnsi="Times New Roman" w:cs="Times New Roman"/>
          <w:color w:val="365F91"/>
          <w:sz w:val="24"/>
          <w:szCs w:val="24"/>
        </w:rPr>
        <w:t>This documentation shall include:</w:t>
      </w:r>
    </w:p>
    <w:p w:rsidR="00F226F6" w:rsidRPr="00A30CC2" w:rsidRDefault="00A30CC2" w:rsidP="009A78BE">
      <w:pPr>
        <w:widowControl w:val="0"/>
        <w:ind w:left="1980" w:hanging="630"/>
        <w:rPr>
          <w:rFonts w:ascii="Times New Roman" w:hAnsi="Times New Roman" w:cs="Times New Roman"/>
          <w:color w:val="365F91"/>
          <w:sz w:val="24"/>
          <w:szCs w:val="24"/>
        </w:rPr>
      </w:pPr>
      <w:r w:rsidRPr="009A78BE">
        <w:rPr>
          <w:rFonts w:ascii="Times New Roman" w:hAnsi="Times New Roman" w:cs="Times New Roman"/>
          <w:b/>
          <w:color w:val="365F91"/>
          <w:sz w:val="24"/>
          <w:szCs w:val="24"/>
        </w:rPr>
        <w:t>____</w:t>
      </w:r>
      <w:r w:rsidR="009A78BE">
        <w:rPr>
          <w:rFonts w:ascii="Times New Roman" w:hAnsi="Times New Roman" w:cs="Times New Roman"/>
          <w:color w:val="365F91"/>
          <w:sz w:val="24"/>
          <w:szCs w:val="24"/>
        </w:rPr>
        <w:tab/>
      </w:r>
      <w:r w:rsidR="00F226F6" w:rsidRPr="00A30CC2">
        <w:rPr>
          <w:rFonts w:ascii="Times New Roman" w:hAnsi="Times New Roman" w:cs="Times New Roman"/>
          <w:color w:val="365F91"/>
          <w:sz w:val="24"/>
          <w:szCs w:val="24"/>
        </w:rPr>
        <w:t>Procedures</w:t>
      </w:r>
      <w:r w:rsidR="00A670B8">
        <w:rPr>
          <w:rFonts w:ascii="Times New Roman" w:hAnsi="Times New Roman" w:cs="Times New Roman"/>
          <w:color w:val="365F91"/>
          <w:sz w:val="24"/>
          <w:szCs w:val="24"/>
        </w:rPr>
        <w:t xml:space="preserve"> and</w:t>
      </w:r>
      <w:r w:rsidR="00F226F6" w:rsidRPr="00A30CC2">
        <w:rPr>
          <w:rFonts w:ascii="Times New Roman" w:hAnsi="Times New Roman" w:cs="Times New Roman"/>
          <w:color w:val="365F91"/>
          <w:sz w:val="24"/>
          <w:szCs w:val="24"/>
        </w:rPr>
        <w:t>;</w:t>
      </w:r>
    </w:p>
    <w:p w:rsidR="00F226F6" w:rsidRPr="00A30CC2" w:rsidRDefault="009A78BE" w:rsidP="009A78BE">
      <w:pPr>
        <w:widowControl w:val="0"/>
        <w:ind w:left="1980" w:hanging="630"/>
        <w:rPr>
          <w:rFonts w:ascii="Times New Roman" w:hAnsi="Times New Roman" w:cs="Times New Roman"/>
          <w:color w:val="365F91"/>
          <w:sz w:val="24"/>
          <w:szCs w:val="24"/>
        </w:rPr>
      </w:pPr>
      <w:r w:rsidRPr="009A78BE">
        <w:rPr>
          <w:rFonts w:ascii="Times New Roman" w:hAnsi="Times New Roman" w:cs="Times New Roman"/>
          <w:b/>
          <w:color w:val="365F91"/>
          <w:sz w:val="24"/>
          <w:szCs w:val="24"/>
        </w:rPr>
        <w:t>____</w:t>
      </w:r>
      <w:r>
        <w:rPr>
          <w:rFonts w:ascii="Times New Roman" w:hAnsi="Times New Roman" w:cs="Times New Roman"/>
          <w:color w:val="365F91"/>
          <w:sz w:val="24"/>
          <w:szCs w:val="24"/>
        </w:rPr>
        <w:tab/>
      </w:r>
      <w:r w:rsidR="00A670B8">
        <w:rPr>
          <w:rFonts w:ascii="Times New Roman" w:hAnsi="Times New Roman" w:cs="Times New Roman"/>
          <w:color w:val="365F91"/>
          <w:sz w:val="24"/>
          <w:szCs w:val="24"/>
        </w:rPr>
        <w:t>Evaluation criteria</w:t>
      </w:r>
    </w:p>
    <w:p w:rsidR="009A78BE" w:rsidRPr="009A78BE" w:rsidRDefault="009A78BE" w:rsidP="009A78BE">
      <w:pPr>
        <w:autoSpaceDE/>
        <w:autoSpaceDN/>
        <w:adjustRightInd/>
        <w:rPr>
          <w:rFonts w:ascii="Times New Roman" w:hAnsi="Times New Roman" w:cs="Times New Roman"/>
          <w:sz w:val="24"/>
          <w:szCs w:val="24"/>
        </w:rPr>
      </w:pPr>
    </w:p>
    <w:p w:rsidR="00F226F6" w:rsidRPr="00A30CC2" w:rsidRDefault="009A78BE" w:rsidP="00FD65CB">
      <w:pPr>
        <w:widowControl w:val="0"/>
        <w:ind w:left="1350" w:hanging="630"/>
        <w:rPr>
          <w:rFonts w:ascii="Times New Roman" w:hAnsi="Times New Roman" w:cs="Times New Roman"/>
          <w:color w:val="365F91"/>
          <w:sz w:val="24"/>
          <w:szCs w:val="24"/>
        </w:rPr>
      </w:pPr>
      <w:r w:rsidRPr="009A78BE">
        <w:rPr>
          <w:rFonts w:ascii="Times New Roman" w:hAnsi="Times New Roman" w:cs="Times New Roman"/>
          <w:b/>
          <w:color w:val="365F91"/>
          <w:sz w:val="24"/>
          <w:szCs w:val="24"/>
        </w:rPr>
        <w:t>____</w:t>
      </w:r>
      <w:r>
        <w:rPr>
          <w:rFonts w:ascii="Times New Roman" w:hAnsi="Times New Roman" w:cs="Times New Roman"/>
          <w:color w:val="365F91"/>
          <w:sz w:val="24"/>
          <w:szCs w:val="24"/>
        </w:rPr>
        <w:tab/>
      </w:r>
      <w:r w:rsidR="00F226F6" w:rsidRPr="00A30CC2">
        <w:rPr>
          <w:rFonts w:ascii="Times New Roman" w:hAnsi="Times New Roman" w:cs="Times New Roman"/>
          <w:color w:val="365F91"/>
          <w:sz w:val="24"/>
          <w:szCs w:val="24"/>
        </w:rPr>
        <w:t xml:space="preserve">Examine the list or lists of assets assessed by the risk-based assessment methodology. </w:t>
      </w:r>
      <w:r w:rsidR="00E80E5B">
        <w:rPr>
          <w:rFonts w:ascii="Times New Roman" w:hAnsi="Times New Roman" w:cs="Times New Roman"/>
          <w:color w:val="365F91"/>
          <w:sz w:val="24"/>
          <w:szCs w:val="24"/>
        </w:rPr>
        <w:t xml:space="preserve"> </w:t>
      </w:r>
      <w:r w:rsidR="00F226F6" w:rsidRPr="00A30CC2">
        <w:rPr>
          <w:rFonts w:ascii="Times New Roman" w:hAnsi="Times New Roman" w:cs="Times New Roman"/>
          <w:color w:val="365F91"/>
          <w:sz w:val="24"/>
          <w:szCs w:val="24"/>
        </w:rPr>
        <w:t xml:space="preserve">Ensure that all assets from each of the following categories have been assessed. </w:t>
      </w:r>
      <w:r w:rsidR="00E80E5B">
        <w:rPr>
          <w:rFonts w:ascii="Times New Roman" w:hAnsi="Times New Roman" w:cs="Times New Roman"/>
          <w:color w:val="365F91"/>
          <w:sz w:val="24"/>
          <w:szCs w:val="24"/>
        </w:rPr>
        <w:t xml:space="preserve"> </w:t>
      </w:r>
      <w:r w:rsidR="00F226F6" w:rsidRPr="00A30CC2">
        <w:rPr>
          <w:rFonts w:ascii="Times New Roman" w:hAnsi="Times New Roman" w:cs="Times New Roman"/>
          <w:color w:val="365F91"/>
          <w:sz w:val="24"/>
          <w:szCs w:val="24"/>
        </w:rPr>
        <w:t>Ensure the list of assets corresponding to each of the following categories has been documented and approved, even if that list is null.</w:t>
      </w:r>
      <w:r>
        <w:rPr>
          <w:rFonts w:ascii="Times New Roman" w:hAnsi="Times New Roman" w:cs="Times New Roman"/>
          <w:color w:val="365F91"/>
          <w:sz w:val="24"/>
          <w:szCs w:val="24"/>
        </w:rPr>
        <w:t xml:space="preserve">  </w:t>
      </w:r>
    </w:p>
    <w:p w:rsidR="00F226F6" w:rsidRPr="00A30CC2" w:rsidRDefault="009A78BE" w:rsidP="009A78BE">
      <w:pPr>
        <w:widowControl w:val="0"/>
        <w:ind w:left="2070" w:hanging="720"/>
        <w:rPr>
          <w:rFonts w:ascii="Times New Roman" w:hAnsi="Times New Roman" w:cs="Times New Roman"/>
          <w:color w:val="365F91"/>
          <w:sz w:val="24"/>
          <w:szCs w:val="24"/>
        </w:rPr>
      </w:pPr>
      <w:r w:rsidRPr="009A78BE">
        <w:rPr>
          <w:rFonts w:ascii="Times New Roman" w:hAnsi="Times New Roman" w:cs="Times New Roman"/>
          <w:b/>
          <w:color w:val="365F91"/>
          <w:sz w:val="24"/>
          <w:szCs w:val="24"/>
        </w:rPr>
        <w:t>____</w:t>
      </w:r>
      <w:r>
        <w:rPr>
          <w:rFonts w:ascii="Times New Roman" w:hAnsi="Times New Roman" w:cs="Times New Roman"/>
          <w:color w:val="365F91"/>
          <w:sz w:val="24"/>
          <w:szCs w:val="24"/>
        </w:rPr>
        <w:tab/>
      </w:r>
      <w:r w:rsidR="00F226F6" w:rsidRPr="00A30CC2">
        <w:rPr>
          <w:rFonts w:ascii="Times New Roman" w:hAnsi="Times New Roman" w:cs="Times New Roman"/>
          <w:color w:val="365F91"/>
          <w:sz w:val="24"/>
          <w:szCs w:val="24"/>
        </w:rPr>
        <w:t>Control centers and backup control centers performing the functions of the entities listed in the Applicability section of this standard.</w:t>
      </w:r>
      <w:r w:rsidR="00E80E5B">
        <w:rPr>
          <w:rFonts w:ascii="Times New Roman" w:hAnsi="Times New Roman" w:cs="Times New Roman"/>
          <w:color w:val="365F91"/>
          <w:sz w:val="24"/>
          <w:szCs w:val="24"/>
        </w:rPr>
        <w:t xml:space="preserve">  </w:t>
      </w:r>
    </w:p>
    <w:p w:rsidR="00F226F6" w:rsidRPr="00A30CC2" w:rsidRDefault="009A78BE" w:rsidP="009A78BE">
      <w:pPr>
        <w:widowControl w:val="0"/>
        <w:ind w:left="2070" w:hanging="720"/>
        <w:rPr>
          <w:rFonts w:ascii="Times New Roman" w:hAnsi="Times New Roman" w:cs="Times New Roman"/>
          <w:color w:val="365F91"/>
          <w:sz w:val="24"/>
          <w:szCs w:val="24"/>
        </w:rPr>
      </w:pPr>
      <w:r w:rsidRPr="009A78BE">
        <w:rPr>
          <w:rFonts w:ascii="Times New Roman" w:hAnsi="Times New Roman" w:cs="Times New Roman"/>
          <w:b/>
          <w:color w:val="365F91"/>
          <w:sz w:val="24"/>
          <w:szCs w:val="24"/>
        </w:rPr>
        <w:t>____</w:t>
      </w:r>
      <w:r>
        <w:rPr>
          <w:rFonts w:ascii="Times New Roman" w:hAnsi="Times New Roman" w:cs="Times New Roman"/>
          <w:color w:val="365F91"/>
          <w:sz w:val="24"/>
          <w:szCs w:val="24"/>
        </w:rPr>
        <w:tab/>
      </w:r>
      <w:r w:rsidR="00F226F6" w:rsidRPr="00A30CC2">
        <w:rPr>
          <w:rFonts w:ascii="Times New Roman" w:hAnsi="Times New Roman" w:cs="Times New Roman"/>
          <w:color w:val="365F91"/>
          <w:sz w:val="24"/>
          <w:szCs w:val="24"/>
        </w:rPr>
        <w:t>Transmission substations that support the reliable operation of the Bulk Electric System.</w:t>
      </w:r>
      <w:r w:rsidR="00E80E5B">
        <w:rPr>
          <w:rFonts w:ascii="Times New Roman" w:hAnsi="Times New Roman" w:cs="Times New Roman"/>
          <w:color w:val="365F91"/>
          <w:sz w:val="24"/>
          <w:szCs w:val="24"/>
        </w:rPr>
        <w:t xml:space="preserve">  </w:t>
      </w:r>
    </w:p>
    <w:p w:rsidR="00F226F6" w:rsidRPr="00A30CC2" w:rsidRDefault="009A78BE" w:rsidP="009A78BE">
      <w:pPr>
        <w:widowControl w:val="0"/>
        <w:ind w:left="2070" w:hanging="720"/>
        <w:rPr>
          <w:rFonts w:ascii="Times New Roman" w:hAnsi="Times New Roman" w:cs="Times New Roman"/>
          <w:color w:val="365F91"/>
          <w:sz w:val="24"/>
          <w:szCs w:val="24"/>
        </w:rPr>
      </w:pPr>
      <w:r w:rsidRPr="009A78BE">
        <w:rPr>
          <w:rFonts w:ascii="Times New Roman" w:hAnsi="Times New Roman" w:cs="Times New Roman"/>
          <w:b/>
          <w:color w:val="365F91"/>
          <w:sz w:val="24"/>
          <w:szCs w:val="24"/>
        </w:rPr>
        <w:t>____</w:t>
      </w:r>
      <w:r>
        <w:rPr>
          <w:rFonts w:ascii="Times New Roman" w:hAnsi="Times New Roman" w:cs="Times New Roman"/>
          <w:color w:val="365F91"/>
          <w:sz w:val="24"/>
          <w:szCs w:val="24"/>
        </w:rPr>
        <w:tab/>
      </w:r>
      <w:r w:rsidR="00F226F6" w:rsidRPr="00A30CC2">
        <w:rPr>
          <w:rFonts w:ascii="Times New Roman" w:hAnsi="Times New Roman" w:cs="Times New Roman"/>
          <w:color w:val="365F91"/>
          <w:sz w:val="24"/>
          <w:szCs w:val="24"/>
        </w:rPr>
        <w:t>Generation resources that support the reliable operation of the Bulk Electric System.</w:t>
      </w:r>
      <w:r w:rsidR="00E80E5B">
        <w:rPr>
          <w:rFonts w:ascii="Times New Roman" w:hAnsi="Times New Roman" w:cs="Times New Roman"/>
          <w:color w:val="365F91"/>
          <w:sz w:val="24"/>
          <w:szCs w:val="24"/>
        </w:rPr>
        <w:t xml:space="preserve">  </w:t>
      </w:r>
    </w:p>
    <w:p w:rsidR="00F226F6" w:rsidRPr="00A30CC2" w:rsidRDefault="009A78BE" w:rsidP="009A78BE">
      <w:pPr>
        <w:widowControl w:val="0"/>
        <w:ind w:left="2070" w:hanging="720"/>
        <w:rPr>
          <w:rFonts w:ascii="Times New Roman" w:hAnsi="Times New Roman" w:cs="Times New Roman"/>
          <w:color w:val="365F91"/>
          <w:sz w:val="24"/>
          <w:szCs w:val="24"/>
        </w:rPr>
      </w:pPr>
      <w:r w:rsidRPr="009A78BE">
        <w:rPr>
          <w:rFonts w:ascii="Times New Roman" w:hAnsi="Times New Roman" w:cs="Times New Roman"/>
          <w:b/>
          <w:color w:val="365F91"/>
          <w:sz w:val="24"/>
          <w:szCs w:val="24"/>
        </w:rPr>
        <w:t>____</w:t>
      </w:r>
      <w:r>
        <w:rPr>
          <w:rFonts w:ascii="Times New Roman" w:hAnsi="Times New Roman" w:cs="Times New Roman"/>
          <w:color w:val="365F91"/>
          <w:sz w:val="24"/>
          <w:szCs w:val="24"/>
        </w:rPr>
        <w:tab/>
      </w:r>
      <w:r w:rsidR="00F226F6" w:rsidRPr="00A30CC2">
        <w:rPr>
          <w:rFonts w:ascii="Times New Roman" w:hAnsi="Times New Roman" w:cs="Times New Roman"/>
          <w:color w:val="365F91"/>
          <w:sz w:val="24"/>
          <w:szCs w:val="24"/>
        </w:rPr>
        <w:t>Systems and facilities critical to system restoration, including blackstart generators and substations in the electrical path of transmission lines used for initial system restoration.</w:t>
      </w:r>
      <w:r w:rsidR="00E80E5B">
        <w:rPr>
          <w:rFonts w:ascii="Times New Roman" w:hAnsi="Times New Roman" w:cs="Times New Roman"/>
          <w:color w:val="365F91"/>
          <w:sz w:val="24"/>
          <w:szCs w:val="24"/>
        </w:rPr>
        <w:t xml:space="preserve">  </w:t>
      </w:r>
    </w:p>
    <w:p w:rsidR="00A30CC2" w:rsidRDefault="009A78BE" w:rsidP="009A78BE">
      <w:pPr>
        <w:widowControl w:val="0"/>
        <w:ind w:left="2070" w:hanging="720"/>
        <w:rPr>
          <w:rFonts w:ascii="Times New Roman" w:hAnsi="Times New Roman" w:cs="Times New Roman"/>
          <w:color w:val="365F91"/>
          <w:sz w:val="24"/>
          <w:szCs w:val="24"/>
        </w:rPr>
      </w:pPr>
      <w:r w:rsidRPr="009A78BE">
        <w:rPr>
          <w:rFonts w:ascii="Times New Roman" w:hAnsi="Times New Roman" w:cs="Times New Roman"/>
          <w:b/>
          <w:color w:val="365F91"/>
          <w:sz w:val="24"/>
          <w:szCs w:val="24"/>
        </w:rPr>
        <w:t>____</w:t>
      </w:r>
      <w:r>
        <w:rPr>
          <w:rFonts w:ascii="Times New Roman" w:hAnsi="Times New Roman" w:cs="Times New Roman"/>
          <w:color w:val="365F91"/>
          <w:sz w:val="24"/>
          <w:szCs w:val="24"/>
        </w:rPr>
        <w:tab/>
      </w:r>
      <w:r w:rsidR="00F226F6" w:rsidRPr="00A30CC2">
        <w:rPr>
          <w:rFonts w:ascii="Times New Roman" w:hAnsi="Times New Roman" w:cs="Times New Roman"/>
          <w:color w:val="365F91"/>
          <w:sz w:val="24"/>
          <w:szCs w:val="24"/>
        </w:rPr>
        <w:t>Systems and facilities critical to automatic load shedding under a common control system capable of shedding 300 MW or more.</w:t>
      </w:r>
      <w:r w:rsidR="00E80E5B">
        <w:rPr>
          <w:rFonts w:ascii="Times New Roman" w:hAnsi="Times New Roman" w:cs="Times New Roman"/>
          <w:color w:val="365F91"/>
          <w:sz w:val="24"/>
          <w:szCs w:val="24"/>
        </w:rPr>
        <w:t xml:space="preserve">  </w:t>
      </w:r>
    </w:p>
    <w:p w:rsidR="00A30CC2" w:rsidRDefault="009A78BE" w:rsidP="009A78BE">
      <w:pPr>
        <w:widowControl w:val="0"/>
        <w:ind w:left="2070" w:hanging="720"/>
        <w:rPr>
          <w:rFonts w:ascii="Times New Roman" w:hAnsi="Times New Roman" w:cs="Times New Roman"/>
          <w:color w:val="365F91"/>
          <w:sz w:val="24"/>
          <w:szCs w:val="24"/>
        </w:rPr>
      </w:pPr>
      <w:r w:rsidRPr="009A78BE">
        <w:rPr>
          <w:rFonts w:ascii="Times New Roman" w:hAnsi="Times New Roman" w:cs="Times New Roman"/>
          <w:b/>
          <w:color w:val="365F91"/>
          <w:sz w:val="24"/>
          <w:szCs w:val="24"/>
        </w:rPr>
        <w:t>____</w:t>
      </w:r>
      <w:r>
        <w:rPr>
          <w:rFonts w:ascii="Times New Roman" w:hAnsi="Times New Roman" w:cs="Times New Roman"/>
          <w:color w:val="365F91"/>
          <w:sz w:val="24"/>
          <w:szCs w:val="24"/>
        </w:rPr>
        <w:tab/>
      </w:r>
      <w:r w:rsidR="00F226F6" w:rsidRPr="00A30CC2">
        <w:rPr>
          <w:rFonts w:ascii="Times New Roman" w:hAnsi="Times New Roman" w:cs="Times New Roman"/>
          <w:color w:val="365F91"/>
          <w:sz w:val="24"/>
          <w:szCs w:val="24"/>
        </w:rPr>
        <w:t>Special Protection Systems that support the reliable operation of the Bulk Electric System.</w:t>
      </w:r>
      <w:r w:rsidR="00E80E5B">
        <w:rPr>
          <w:rFonts w:ascii="Times New Roman" w:hAnsi="Times New Roman" w:cs="Times New Roman"/>
          <w:color w:val="365F91"/>
          <w:sz w:val="24"/>
          <w:szCs w:val="24"/>
        </w:rPr>
        <w:t xml:space="preserve">  </w:t>
      </w:r>
    </w:p>
    <w:p w:rsidR="00A30CC2" w:rsidRDefault="009A78BE" w:rsidP="009A78BE">
      <w:pPr>
        <w:widowControl w:val="0"/>
        <w:ind w:left="2070" w:hanging="720"/>
        <w:rPr>
          <w:rFonts w:ascii="Times New Roman" w:hAnsi="Times New Roman" w:cs="Times New Roman"/>
          <w:color w:val="365F91"/>
          <w:sz w:val="24"/>
          <w:szCs w:val="24"/>
        </w:rPr>
      </w:pPr>
      <w:r w:rsidRPr="009A78BE">
        <w:rPr>
          <w:rFonts w:ascii="Times New Roman" w:hAnsi="Times New Roman" w:cs="Times New Roman"/>
          <w:b/>
          <w:color w:val="365F91"/>
          <w:sz w:val="24"/>
          <w:szCs w:val="24"/>
        </w:rPr>
        <w:t>____</w:t>
      </w:r>
      <w:r>
        <w:rPr>
          <w:rFonts w:ascii="Times New Roman" w:hAnsi="Times New Roman" w:cs="Times New Roman"/>
          <w:color w:val="365F91"/>
          <w:sz w:val="24"/>
          <w:szCs w:val="24"/>
        </w:rPr>
        <w:tab/>
      </w:r>
      <w:r w:rsidR="00F226F6" w:rsidRPr="00A30CC2">
        <w:rPr>
          <w:rFonts w:ascii="Times New Roman" w:hAnsi="Times New Roman" w:cs="Times New Roman"/>
          <w:color w:val="365F91"/>
          <w:sz w:val="24"/>
          <w:szCs w:val="24"/>
        </w:rPr>
        <w:t>Any additional assets that support the reliable operation of the Bulk Electric System that the Responsible Entity deems appropriate to include in its assessment.</w:t>
      </w:r>
      <w:r w:rsidR="00E80E5B">
        <w:rPr>
          <w:rFonts w:ascii="Times New Roman" w:hAnsi="Times New Roman" w:cs="Times New Roman"/>
          <w:color w:val="365F91"/>
          <w:sz w:val="24"/>
          <w:szCs w:val="24"/>
        </w:rPr>
        <w:t xml:space="preserve">  </w:t>
      </w:r>
    </w:p>
    <w:p w:rsidR="00F226F6" w:rsidRPr="008F7DA5" w:rsidRDefault="00F226F6" w:rsidP="009A78BE">
      <w:pPr>
        <w:autoSpaceDE/>
        <w:autoSpaceDN/>
        <w:adjustRightInd/>
        <w:rPr>
          <w:rFonts w:ascii="Times New Roman" w:hAnsi="Times New Roman" w:cs="Times New Roman"/>
          <w:sz w:val="24"/>
          <w:szCs w:val="24"/>
        </w:rPr>
      </w:pPr>
    </w:p>
    <w:p w:rsidR="00F226F6" w:rsidRPr="009A78BE" w:rsidRDefault="00F226F6" w:rsidP="009A78BE">
      <w:pPr>
        <w:autoSpaceDE/>
        <w:autoSpaceDN/>
        <w:adjustRightInd/>
        <w:rPr>
          <w:rFonts w:ascii="Times New Roman" w:hAnsi="Times New Roman" w:cs="Times New Roman"/>
          <w:sz w:val="24"/>
          <w:szCs w:val="24"/>
        </w:rPr>
      </w:pPr>
    </w:p>
    <w:p w:rsidR="00F226F6" w:rsidRPr="008F7DA5" w:rsidRDefault="00F226F6" w:rsidP="0078439E">
      <w:pPr>
        <w:widowControl w:val="0"/>
        <w:rPr>
          <w:rFonts w:ascii="Times New Roman" w:hAnsi="Times New Roman" w:cs="Times New Roman"/>
          <w:b/>
          <w:bCs/>
          <w:color w:val="264D74"/>
          <w:sz w:val="24"/>
          <w:szCs w:val="24"/>
        </w:rPr>
      </w:pPr>
      <w:r w:rsidRPr="008F7DA5">
        <w:rPr>
          <w:rFonts w:ascii="Times New Roman" w:hAnsi="Times New Roman" w:cs="Times New Roman"/>
          <w:b/>
          <w:bCs/>
          <w:color w:val="264D74"/>
          <w:sz w:val="24"/>
          <w:szCs w:val="24"/>
        </w:rPr>
        <w:t>Detailed notes:</w:t>
      </w:r>
    </w:p>
    <w:p w:rsidR="00F226F6" w:rsidRPr="008F7DA5" w:rsidRDefault="00F226F6" w:rsidP="0078439E">
      <w:pPr>
        <w:widowControl w:val="0"/>
        <w:shd w:val="clear" w:color="auto" w:fill="D3DCE9"/>
        <w:rPr>
          <w:rFonts w:ascii="Times New Roman" w:hAnsi="Times New Roman" w:cs="Times New Roman"/>
          <w:bCs/>
          <w:color w:val="264D74"/>
          <w:sz w:val="24"/>
          <w:szCs w:val="24"/>
        </w:rPr>
      </w:pPr>
    </w:p>
    <w:p w:rsidR="00F226F6" w:rsidRPr="008F7DA5" w:rsidRDefault="00F226F6" w:rsidP="0078439E">
      <w:pPr>
        <w:widowControl w:val="0"/>
        <w:shd w:val="clear" w:color="auto" w:fill="D3DCE9"/>
        <w:rPr>
          <w:rFonts w:ascii="Times New Roman" w:hAnsi="Times New Roman" w:cs="Times New Roman"/>
          <w:bCs/>
          <w:color w:val="264D74"/>
          <w:sz w:val="24"/>
          <w:szCs w:val="24"/>
        </w:rPr>
      </w:pPr>
    </w:p>
    <w:p w:rsidR="00F226F6" w:rsidRPr="009A78BE" w:rsidRDefault="00F226F6" w:rsidP="009A78BE">
      <w:pPr>
        <w:autoSpaceDE/>
        <w:autoSpaceDN/>
        <w:adjustRightInd/>
        <w:rPr>
          <w:rFonts w:ascii="Times New Roman" w:hAnsi="Times New Roman" w:cs="Times New Roman"/>
          <w:sz w:val="24"/>
          <w:szCs w:val="24"/>
        </w:rPr>
      </w:pPr>
    </w:p>
    <w:p w:rsidR="00F226F6" w:rsidRPr="008F7DA5" w:rsidRDefault="00F226F6" w:rsidP="0078439E">
      <w:pPr>
        <w:widowControl w:val="0"/>
        <w:rPr>
          <w:rFonts w:ascii="Times New Roman" w:hAnsi="Times New Roman" w:cs="Times New Roman"/>
          <w:b/>
          <w:bCs/>
          <w:color w:val="264D74"/>
          <w:sz w:val="24"/>
          <w:szCs w:val="24"/>
        </w:rPr>
      </w:pPr>
      <w:r w:rsidRPr="008F7DA5">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F226F6" w:rsidRPr="008F7DA5" w:rsidTr="00F226F6">
        <w:tc>
          <w:tcPr>
            <w:tcW w:w="7848" w:type="dxa"/>
            <w:tcBorders>
              <w:top w:val="single" w:sz="8" w:space="0" w:color="4F81BD"/>
              <w:left w:val="nil"/>
              <w:bottom w:val="single" w:sz="8" w:space="0" w:color="4F81BD"/>
              <w:right w:val="nil"/>
            </w:tcBorders>
          </w:tcPr>
          <w:p w:rsidR="00F226F6" w:rsidRPr="008F7DA5" w:rsidRDefault="00F226F6" w:rsidP="0078439E">
            <w:pPr>
              <w:widowControl w:val="0"/>
              <w:rPr>
                <w:rFonts w:ascii="Times New Roman" w:hAnsi="Times New Roman" w:cs="Times New Roman"/>
                <w:b/>
                <w:bCs/>
                <w:color w:val="264D74"/>
                <w:sz w:val="24"/>
                <w:szCs w:val="24"/>
              </w:rPr>
            </w:pPr>
            <w:r w:rsidRPr="008F7DA5">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F226F6" w:rsidRPr="008F7DA5" w:rsidRDefault="00F226F6" w:rsidP="0078439E">
            <w:pPr>
              <w:widowControl w:val="0"/>
              <w:jc w:val="center"/>
              <w:rPr>
                <w:rFonts w:ascii="Times New Roman" w:hAnsi="Times New Roman" w:cs="Times New Roman"/>
                <w:b/>
                <w:bCs/>
                <w:color w:val="264D74"/>
                <w:sz w:val="24"/>
                <w:szCs w:val="24"/>
              </w:rPr>
            </w:pPr>
            <w:r w:rsidRPr="008F7DA5">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F226F6" w:rsidRPr="008F7DA5" w:rsidRDefault="00F226F6" w:rsidP="0078439E">
            <w:pPr>
              <w:widowControl w:val="0"/>
              <w:jc w:val="center"/>
              <w:rPr>
                <w:rFonts w:ascii="Times New Roman" w:hAnsi="Times New Roman" w:cs="Times New Roman"/>
                <w:b/>
                <w:bCs/>
                <w:color w:val="264D74"/>
                <w:sz w:val="24"/>
                <w:szCs w:val="24"/>
              </w:rPr>
            </w:pPr>
            <w:r w:rsidRPr="008F7DA5">
              <w:rPr>
                <w:rFonts w:ascii="Times New Roman" w:hAnsi="Times New Roman" w:cs="Times New Roman"/>
                <w:b/>
                <w:bCs/>
                <w:color w:val="264D74"/>
                <w:sz w:val="24"/>
                <w:szCs w:val="24"/>
              </w:rPr>
              <w:t>Version</w:t>
            </w:r>
          </w:p>
        </w:tc>
      </w:tr>
      <w:tr w:rsidR="00F226F6" w:rsidRPr="008F7DA5" w:rsidTr="00F226F6">
        <w:tc>
          <w:tcPr>
            <w:tcW w:w="7848" w:type="dxa"/>
            <w:tcBorders>
              <w:top w:val="nil"/>
              <w:left w:val="nil"/>
              <w:bottom w:val="nil"/>
              <w:right w:val="nil"/>
            </w:tcBorders>
            <w:shd w:val="clear" w:color="auto" w:fill="D3DFEE"/>
          </w:tcPr>
          <w:p w:rsidR="00F226F6" w:rsidRPr="008F7DA5" w:rsidRDefault="00F226F6" w:rsidP="0078439E">
            <w:pPr>
              <w:widowControl w:val="0"/>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F226F6" w:rsidRPr="008F7DA5" w:rsidRDefault="00F226F6" w:rsidP="0078439E">
            <w:pPr>
              <w:widowControl w:val="0"/>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F226F6" w:rsidRPr="008F7DA5" w:rsidRDefault="00F226F6" w:rsidP="0078439E">
            <w:pPr>
              <w:widowControl w:val="0"/>
              <w:rPr>
                <w:rFonts w:ascii="Times New Roman" w:hAnsi="Times New Roman" w:cs="Times New Roman"/>
                <w:b/>
                <w:bCs/>
                <w:color w:val="264D74"/>
                <w:sz w:val="24"/>
                <w:szCs w:val="24"/>
              </w:rPr>
            </w:pPr>
          </w:p>
        </w:tc>
      </w:tr>
      <w:tr w:rsidR="00F226F6" w:rsidRPr="008F7DA5" w:rsidTr="00F226F6">
        <w:tc>
          <w:tcPr>
            <w:tcW w:w="7848" w:type="dxa"/>
            <w:tcBorders>
              <w:top w:val="nil"/>
              <w:left w:val="nil"/>
              <w:bottom w:val="nil"/>
              <w:right w:val="nil"/>
            </w:tcBorders>
          </w:tcPr>
          <w:p w:rsidR="00F226F6" w:rsidRPr="008F7DA5" w:rsidRDefault="00F226F6" w:rsidP="0078439E">
            <w:pPr>
              <w:widowControl w:val="0"/>
              <w:rPr>
                <w:rFonts w:ascii="Times New Roman" w:hAnsi="Times New Roman" w:cs="Times New Roman"/>
                <w:b/>
                <w:bCs/>
                <w:color w:val="264D74"/>
                <w:sz w:val="24"/>
                <w:szCs w:val="24"/>
              </w:rPr>
            </w:pPr>
          </w:p>
        </w:tc>
        <w:tc>
          <w:tcPr>
            <w:tcW w:w="1620" w:type="dxa"/>
            <w:tcBorders>
              <w:top w:val="nil"/>
              <w:left w:val="nil"/>
              <w:bottom w:val="nil"/>
              <w:right w:val="nil"/>
            </w:tcBorders>
          </w:tcPr>
          <w:p w:rsidR="00F226F6" w:rsidRPr="008F7DA5" w:rsidRDefault="00F226F6" w:rsidP="0078439E">
            <w:pPr>
              <w:widowControl w:val="0"/>
              <w:rPr>
                <w:rFonts w:ascii="Times New Roman" w:hAnsi="Times New Roman" w:cs="Times New Roman"/>
                <w:b/>
                <w:bCs/>
                <w:color w:val="264D74"/>
                <w:sz w:val="24"/>
                <w:szCs w:val="24"/>
              </w:rPr>
            </w:pPr>
          </w:p>
        </w:tc>
        <w:tc>
          <w:tcPr>
            <w:tcW w:w="1548" w:type="dxa"/>
            <w:tcBorders>
              <w:top w:val="nil"/>
              <w:left w:val="nil"/>
              <w:bottom w:val="nil"/>
              <w:right w:val="nil"/>
            </w:tcBorders>
          </w:tcPr>
          <w:p w:rsidR="00F226F6" w:rsidRPr="008F7DA5" w:rsidRDefault="00F226F6" w:rsidP="0078439E">
            <w:pPr>
              <w:widowControl w:val="0"/>
              <w:rPr>
                <w:rFonts w:ascii="Times New Roman" w:hAnsi="Times New Roman" w:cs="Times New Roman"/>
                <w:b/>
                <w:bCs/>
                <w:color w:val="264D74"/>
                <w:sz w:val="24"/>
                <w:szCs w:val="24"/>
              </w:rPr>
            </w:pPr>
          </w:p>
        </w:tc>
      </w:tr>
      <w:tr w:rsidR="00F226F6" w:rsidRPr="008F7DA5" w:rsidTr="00F226F6">
        <w:tc>
          <w:tcPr>
            <w:tcW w:w="7848" w:type="dxa"/>
            <w:tcBorders>
              <w:top w:val="nil"/>
              <w:left w:val="nil"/>
              <w:bottom w:val="single" w:sz="8" w:space="0" w:color="4F81BD"/>
              <w:right w:val="nil"/>
            </w:tcBorders>
            <w:shd w:val="clear" w:color="auto" w:fill="D3DFEE"/>
          </w:tcPr>
          <w:p w:rsidR="00F226F6" w:rsidRPr="008F7DA5" w:rsidRDefault="00F226F6" w:rsidP="0078439E">
            <w:pPr>
              <w:widowControl w:val="0"/>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F226F6" w:rsidRPr="008F7DA5" w:rsidRDefault="00F226F6" w:rsidP="0078439E">
            <w:pPr>
              <w:widowControl w:val="0"/>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F226F6" w:rsidRPr="008F7DA5" w:rsidRDefault="00F226F6" w:rsidP="0078439E">
            <w:pPr>
              <w:widowControl w:val="0"/>
              <w:rPr>
                <w:rFonts w:ascii="Times New Roman" w:hAnsi="Times New Roman" w:cs="Times New Roman"/>
                <w:b/>
                <w:bCs/>
                <w:color w:val="264D74"/>
                <w:sz w:val="24"/>
                <w:szCs w:val="24"/>
              </w:rPr>
            </w:pPr>
          </w:p>
        </w:tc>
      </w:tr>
    </w:tbl>
    <w:p w:rsidR="00F226F6" w:rsidRDefault="00F226F6" w:rsidP="009A78BE">
      <w:pPr>
        <w:pStyle w:val="Requirement"/>
      </w:pPr>
    </w:p>
    <w:p w:rsidR="00DE5A92" w:rsidRDefault="00DE3ADD" w:rsidP="009A78BE">
      <w:pPr>
        <w:pStyle w:val="Requirement"/>
      </w:pPr>
      <w:r w:rsidRPr="008F7DA5">
        <w:rPr>
          <w:b/>
        </w:rPr>
        <w:t>R2.</w:t>
      </w:r>
      <w:r w:rsidR="009A78BE">
        <w:rPr>
          <w:b/>
        </w:rPr>
        <w:tab/>
      </w:r>
      <w:r w:rsidR="00DE5A92" w:rsidRPr="008F7DA5">
        <w:t>Critical Asset Identification — The Responsible Entity shall develop a list of its identified Critical Assets determined through an annual application of the risk-based assessment methodology required in R1.  The Responsible Entity shall review this list at least annually, and update it as necessary.</w:t>
      </w:r>
    </w:p>
    <w:p w:rsidR="009A78BE" w:rsidRDefault="009A78BE" w:rsidP="009A78BE">
      <w:pPr>
        <w:autoSpaceDE/>
        <w:autoSpaceDN/>
        <w:adjustRightInd/>
        <w:rPr>
          <w:rFonts w:ascii="Times New Roman" w:hAnsi="Times New Roman" w:cs="Times New Roman"/>
          <w:sz w:val="24"/>
          <w:szCs w:val="24"/>
        </w:rPr>
      </w:pPr>
    </w:p>
    <w:p w:rsidR="009A78BE" w:rsidRPr="009A78BE" w:rsidRDefault="009A78BE" w:rsidP="009A78BE">
      <w:pPr>
        <w:autoSpaceDE/>
        <w:autoSpaceDN/>
        <w:adjustRightInd/>
        <w:rPr>
          <w:rFonts w:ascii="Times New Roman" w:hAnsi="Times New Roman" w:cs="Times New Roman"/>
          <w:sz w:val="24"/>
          <w:szCs w:val="24"/>
        </w:rPr>
      </w:pPr>
    </w:p>
    <w:p w:rsidR="00F226F6" w:rsidRDefault="00F226F6" w:rsidP="0078439E">
      <w:pPr>
        <w:widowControl w:val="0"/>
        <w:ind w:left="720"/>
        <w:rPr>
          <w:rFonts w:ascii="Times New Roman" w:hAnsi="Times New Roman" w:cs="Times New Roman"/>
          <w:b/>
          <w:bCs/>
          <w:i/>
          <w:iCs/>
          <w:color w:val="000000"/>
          <w:sz w:val="24"/>
          <w:szCs w:val="24"/>
        </w:rPr>
      </w:pPr>
      <w:r>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F226F6" w:rsidRDefault="00F226F6" w:rsidP="0078439E">
      <w:pPr>
        <w:widowControl w:val="0"/>
        <w:ind w:left="720"/>
        <w:rPr>
          <w:rFonts w:ascii="Times New Roman" w:hAnsi="Times New Roman" w:cs="Times New Roman"/>
          <w:sz w:val="24"/>
          <w:szCs w:val="24"/>
        </w:rPr>
      </w:pPr>
    </w:p>
    <w:p w:rsidR="00F226F6" w:rsidRDefault="00F226F6" w:rsidP="0078439E">
      <w:pPr>
        <w:widowControl w:val="0"/>
        <w:shd w:val="clear" w:color="auto" w:fill="D3DCE9"/>
        <w:ind w:left="720"/>
        <w:rPr>
          <w:rFonts w:ascii="Times New Roman" w:hAnsi="Times New Roman" w:cs="Times New Roman"/>
          <w:bCs/>
          <w:color w:val="264D74"/>
          <w:sz w:val="24"/>
          <w:szCs w:val="24"/>
        </w:rPr>
      </w:pPr>
    </w:p>
    <w:p w:rsidR="00F226F6" w:rsidRDefault="00F226F6" w:rsidP="0078439E">
      <w:pPr>
        <w:widowControl w:val="0"/>
        <w:shd w:val="clear" w:color="auto" w:fill="D3DCE9"/>
        <w:ind w:left="720"/>
        <w:rPr>
          <w:rFonts w:ascii="Times New Roman" w:hAnsi="Times New Roman" w:cs="Times New Roman"/>
          <w:bCs/>
          <w:color w:val="264D74"/>
          <w:sz w:val="24"/>
          <w:szCs w:val="24"/>
        </w:rPr>
      </w:pPr>
    </w:p>
    <w:p w:rsidR="007220C8" w:rsidRDefault="007220C8" w:rsidP="0078439E">
      <w:pPr>
        <w:rPr>
          <w:rFonts w:ascii="Times New Roman" w:hAnsi="Times New Roman" w:cs="Times New Roman"/>
          <w:b/>
          <w:bCs/>
          <w:sz w:val="24"/>
          <w:szCs w:val="24"/>
        </w:rPr>
      </w:pPr>
    </w:p>
    <w:p w:rsidR="00E45931" w:rsidRPr="008F7DA5" w:rsidRDefault="00E45931" w:rsidP="0078439E">
      <w:pPr>
        <w:widowControl w:val="0"/>
        <w:rPr>
          <w:rFonts w:ascii="Times New Roman" w:hAnsi="Times New Roman" w:cs="Times New Roman"/>
          <w:b/>
          <w:bCs/>
          <w:color w:val="C00000"/>
          <w:sz w:val="24"/>
          <w:szCs w:val="24"/>
        </w:rPr>
      </w:pPr>
      <w:r w:rsidRPr="008F7DA5">
        <w:rPr>
          <w:rFonts w:ascii="Times New Roman" w:hAnsi="Times New Roman" w:cs="Times New Roman"/>
          <w:b/>
          <w:i/>
          <w:iCs/>
          <w:color w:val="C00000"/>
          <w:sz w:val="24"/>
          <w:szCs w:val="24"/>
        </w:rPr>
        <w:t>This section must be completed by the Compliance Enforcement Authority.</w:t>
      </w:r>
    </w:p>
    <w:p w:rsidR="00BD5A84" w:rsidRDefault="00BD5A84" w:rsidP="0078439E">
      <w:pPr>
        <w:rPr>
          <w:rFonts w:ascii="Times New Roman" w:hAnsi="Times New Roman" w:cs="Times New Roman"/>
          <w:b/>
          <w:bCs/>
          <w:sz w:val="24"/>
          <w:szCs w:val="24"/>
        </w:rPr>
      </w:pPr>
    </w:p>
    <w:p w:rsidR="006D38DE" w:rsidRPr="008F7DA5" w:rsidRDefault="006D38DE" w:rsidP="0078439E">
      <w:pPr>
        <w:widowControl w:val="0"/>
        <w:ind w:left="2070" w:hanging="2070"/>
        <w:rPr>
          <w:rFonts w:ascii="Times New Roman" w:hAnsi="Times New Roman" w:cs="Times New Roman"/>
          <w:b/>
          <w:bCs/>
          <w:color w:val="264D74"/>
          <w:sz w:val="24"/>
          <w:szCs w:val="24"/>
        </w:rPr>
      </w:pPr>
      <w:r w:rsidRPr="008F7DA5">
        <w:rPr>
          <w:rFonts w:ascii="Times New Roman" w:hAnsi="Times New Roman" w:cs="Times New Roman"/>
          <w:b/>
          <w:bCs/>
          <w:color w:val="264D74"/>
          <w:sz w:val="24"/>
          <w:szCs w:val="24"/>
        </w:rPr>
        <w:t>Compliance Assessment Approach Specific to CIP-</w:t>
      </w:r>
      <w:r w:rsidR="00A535FB">
        <w:rPr>
          <w:rFonts w:ascii="Times New Roman" w:hAnsi="Times New Roman" w:cs="Times New Roman"/>
          <w:b/>
          <w:bCs/>
          <w:color w:val="264D74"/>
          <w:sz w:val="24"/>
          <w:szCs w:val="24"/>
        </w:rPr>
        <w:t>002-3</w:t>
      </w:r>
      <w:r w:rsidRPr="008F7DA5">
        <w:rPr>
          <w:rFonts w:ascii="Times New Roman" w:hAnsi="Times New Roman" w:cs="Times New Roman"/>
          <w:b/>
          <w:bCs/>
          <w:color w:val="264D74"/>
          <w:sz w:val="24"/>
          <w:szCs w:val="24"/>
        </w:rPr>
        <w:t xml:space="preserve"> R2.</w:t>
      </w:r>
    </w:p>
    <w:p w:rsidR="006D38DE" w:rsidRPr="008F7DA5" w:rsidRDefault="006D38DE" w:rsidP="009A78BE">
      <w:pPr>
        <w:autoSpaceDE/>
        <w:autoSpaceDN/>
        <w:adjustRightInd/>
        <w:rPr>
          <w:rFonts w:ascii="Times New Roman" w:hAnsi="Times New Roman" w:cs="Times New Roman"/>
          <w:sz w:val="24"/>
          <w:szCs w:val="24"/>
        </w:rPr>
      </w:pPr>
    </w:p>
    <w:p w:rsidR="006D38DE" w:rsidRPr="009A78BE" w:rsidRDefault="006D38DE" w:rsidP="009A78BE">
      <w:pPr>
        <w:autoSpaceDE/>
        <w:autoSpaceDN/>
        <w:adjustRightInd/>
        <w:rPr>
          <w:rFonts w:ascii="Times New Roman" w:hAnsi="Times New Roman" w:cs="Times New Roman"/>
          <w:sz w:val="24"/>
          <w:szCs w:val="24"/>
        </w:rPr>
      </w:pPr>
    </w:p>
    <w:p w:rsidR="006D38DE" w:rsidRPr="006D38DE" w:rsidRDefault="006D38DE" w:rsidP="00E80E5B">
      <w:pPr>
        <w:widowControl w:val="0"/>
        <w:ind w:left="1530" w:hanging="810"/>
        <w:rPr>
          <w:rFonts w:ascii="Times New Roman" w:hAnsi="Times New Roman" w:cs="Times New Roman"/>
          <w:color w:val="365F91"/>
          <w:sz w:val="24"/>
          <w:szCs w:val="24"/>
        </w:rPr>
      </w:pPr>
      <w:r>
        <w:rPr>
          <w:rFonts w:ascii="Times New Roman" w:hAnsi="Times New Roman" w:cs="Times New Roman"/>
          <w:color w:val="365F91"/>
          <w:sz w:val="24"/>
          <w:szCs w:val="24"/>
        </w:rPr>
        <w:t>____</w:t>
      </w:r>
      <w:r w:rsidR="00E80E5B">
        <w:rPr>
          <w:rFonts w:ascii="Times New Roman" w:hAnsi="Times New Roman" w:cs="Times New Roman"/>
          <w:color w:val="365F91"/>
          <w:sz w:val="24"/>
          <w:szCs w:val="24"/>
        </w:rPr>
        <w:tab/>
      </w:r>
      <w:r w:rsidRPr="006D38DE">
        <w:rPr>
          <w:rFonts w:ascii="Times New Roman" w:hAnsi="Times New Roman" w:cs="Times New Roman"/>
          <w:color w:val="365F91"/>
          <w:sz w:val="24"/>
          <w:szCs w:val="24"/>
        </w:rPr>
        <w:t>Ensure that the Responsible Entity utilized its risk</w:t>
      </w:r>
      <w:r w:rsidRPr="006D38DE">
        <w:rPr>
          <w:rFonts w:ascii="Times New Roman" w:hAnsi="Times New Roman" w:cs="Times New Roman"/>
          <w:color w:val="365F91"/>
          <w:sz w:val="24"/>
          <w:szCs w:val="24"/>
        </w:rPr>
        <w:noBreakHyphen/>
        <w:t>based assessment methodology as identified in R1 to create its Critical Asset list.</w:t>
      </w:r>
      <w:r w:rsidR="00E80E5B">
        <w:rPr>
          <w:rFonts w:ascii="Times New Roman" w:hAnsi="Times New Roman" w:cs="Times New Roman"/>
          <w:color w:val="365F91"/>
          <w:sz w:val="24"/>
          <w:szCs w:val="24"/>
        </w:rPr>
        <w:t xml:space="preserve">  </w:t>
      </w:r>
    </w:p>
    <w:p w:rsidR="006D38DE" w:rsidRPr="006D38DE" w:rsidRDefault="006D38DE" w:rsidP="00E80E5B">
      <w:pPr>
        <w:widowControl w:val="0"/>
        <w:ind w:left="1530" w:hanging="810"/>
        <w:rPr>
          <w:rFonts w:ascii="Times New Roman" w:hAnsi="Times New Roman" w:cs="Times New Roman"/>
          <w:color w:val="365F91"/>
          <w:sz w:val="24"/>
          <w:szCs w:val="24"/>
        </w:rPr>
      </w:pPr>
      <w:r>
        <w:rPr>
          <w:rFonts w:ascii="Times New Roman" w:hAnsi="Times New Roman" w:cs="Times New Roman"/>
          <w:color w:val="365F91"/>
          <w:sz w:val="24"/>
          <w:szCs w:val="24"/>
        </w:rPr>
        <w:t>____</w:t>
      </w:r>
      <w:r w:rsidR="00E80E5B">
        <w:rPr>
          <w:rFonts w:ascii="Times New Roman" w:hAnsi="Times New Roman" w:cs="Times New Roman"/>
          <w:color w:val="365F91"/>
          <w:sz w:val="24"/>
          <w:szCs w:val="24"/>
        </w:rPr>
        <w:tab/>
      </w:r>
      <w:r w:rsidRPr="006D38DE">
        <w:rPr>
          <w:rFonts w:ascii="Times New Roman" w:hAnsi="Times New Roman" w:cs="Times New Roman"/>
          <w:color w:val="365F91"/>
          <w:sz w:val="24"/>
          <w:szCs w:val="24"/>
        </w:rPr>
        <w:t>Ensure the Responsible Entity reviews its Critical Asset list annually (this validation begins after the Auditably Compliant start date based on registration).</w:t>
      </w:r>
      <w:r w:rsidR="00E80E5B">
        <w:rPr>
          <w:rFonts w:ascii="Times New Roman" w:hAnsi="Times New Roman" w:cs="Times New Roman"/>
          <w:color w:val="365F91"/>
          <w:sz w:val="24"/>
          <w:szCs w:val="24"/>
        </w:rPr>
        <w:t xml:space="preserve">  </w:t>
      </w:r>
    </w:p>
    <w:p w:rsidR="006D38DE" w:rsidRPr="006D38DE" w:rsidRDefault="006D38DE" w:rsidP="00E80E5B">
      <w:pPr>
        <w:widowControl w:val="0"/>
        <w:ind w:left="1530" w:hanging="810"/>
        <w:rPr>
          <w:rFonts w:ascii="Times New Roman" w:hAnsi="Times New Roman" w:cs="Times New Roman"/>
          <w:color w:val="365F91"/>
          <w:sz w:val="24"/>
          <w:szCs w:val="24"/>
        </w:rPr>
      </w:pPr>
      <w:r>
        <w:rPr>
          <w:rFonts w:ascii="Times New Roman" w:hAnsi="Times New Roman" w:cs="Times New Roman"/>
          <w:color w:val="365F91"/>
          <w:sz w:val="24"/>
          <w:szCs w:val="24"/>
        </w:rPr>
        <w:t>____</w:t>
      </w:r>
      <w:r w:rsidR="00E80E5B">
        <w:rPr>
          <w:rFonts w:ascii="Times New Roman" w:hAnsi="Times New Roman" w:cs="Times New Roman"/>
          <w:color w:val="365F91"/>
          <w:sz w:val="24"/>
          <w:szCs w:val="24"/>
        </w:rPr>
        <w:tab/>
      </w:r>
      <w:r w:rsidRPr="006D38DE">
        <w:rPr>
          <w:rFonts w:ascii="Times New Roman" w:hAnsi="Times New Roman" w:cs="Times New Roman"/>
          <w:color w:val="365F91"/>
          <w:sz w:val="24"/>
          <w:szCs w:val="24"/>
        </w:rPr>
        <w:t>Ensure the Responsible Entity includes updates to the Critical Asset list as necessary.</w:t>
      </w:r>
      <w:r w:rsidR="00E80E5B">
        <w:rPr>
          <w:rFonts w:ascii="Times New Roman" w:hAnsi="Times New Roman" w:cs="Times New Roman"/>
          <w:color w:val="365F91"/>
          <w:sz w:val="24"/>
          <w:szCs w:val="24"/>
        </w:rPr>
        <w:t xml:space="preserve">  </w:t>
      </w:r>
    </w:p>
    <w:p w:rsidR="006D38DE" w:rsidRPr="008F7DA5" w:rsidRDefault="006D38DE" w:rsidP="0078439E">
      <w:pPr>
        <w:widowControl w:val="0"/>
        <w:rPr>
          <w:rFonts w:ascii="Times New Roman" w:hAnsi="Times New Roman" w:cs="Times New Roman"/>
          <w:b/>
          <w:bCs/>
          <w:color w:val="264D74"/>
          <w:sz w:val="24"/>
          <w:szCs w:val="24"/>
        </w:rPr>
      </w:pPr>
    </w:p>
    <w:p w:rsidR="006D38DE" w:rsidRPr="008F7DA5" w:rsidRDefault="006D38DE" w:rsidP="0078439E">
      <w:pPr>
        <w:widowControl w:val="0"/>
        <w:rPr>
          <w:rFonts w:ascii="Times New Roman" w:hAnsi="Times New Roman" w:cs="Times New Roman"/>
          <w:b/>
          <w:bCs/>
          <w:color w:val="264D74"/>
          <w:sz w:val="24"/>
          <w:szCs w:val="24"/>
        </w:rPr>
      </w:pPr>
      <w:r w:rsidRPr="008F7DA5">
        <w:rPr>
          <w:rFonts w:ascii="Times New Roman" w:hAnsi="Times New Roman" w:cs="Times New Roman"/>
          <w:b/>
          <w:bCs/>
          <w:color w:val="264D74"/>
          <w:sz w:val="24"/>
          <w:szCs w:val="24"/>
        </w:rPr>
        <w:t>Detailed notes:</w:t>
      </w:r>
    </w:p>
    <w:p w:rsidR="006D38DE" w:rsidRPr="008F7DA5" w:rsidRDefault="006D38DE" w:rsidP="0078439E">
      <w:pPr>
        <w:widowControl w:val="0"/>
        <w:shd w:val="clear" w:color="auto" w:fill="D3DCE9"/>
        <w:rPr>
          <w:rFonts w:ascii="Times New Roman" w:hAnsi="Times New Roman" w:cs="Times New Roman"/>
          <w:bCs/>
          <w:color w:val="264D74"/>
          <w:sz w:val="24"/>
          <w:szCs w:val="24"/>
        </w:rPr>
      </w:pPr>
    </w:p>
    <w:p w:rsidR="006D38DE" w:rsidRPr="008F7DA5" w:rsidRDefault="006D38DE" w:rsidP="0078439E">
      <w:pPr>
        <w:widowControl w:val="0"/>
        <w:shd w:val="clear" w:color="auto" w:fill="D3DCE9"/>
        <w:rPr>
          <w:rFonts w:ascii="Times New Roman" w:hAnsi="Times New Roman" w:cs="Times New Roman"/>
          <w:bCs/>
          <w:color w:val="264D74"/>
          <w:sz w:val="24"/>
          <w:szCs w:val="24"/>
        </w:rPr>
      </w:pPr>
    </w:p>
    <w:p w:rsidR="006D38DE" w:rsidRPr="00E80E5B" w:rsidRDefault="006D38DE" w:rsidP="00E80E5B">
      <w:pPr>
        <w:autoSpaceDE/>
        <w:autoSpaceDN/>
        <w:adjustRightInd/>
        <w:rPr>
          <w:rFonts w:ascii="Times New Roman" w:hAnsi="Times New Roman" w:cs="Times New Roman"/>
          <w:color w:val="365F91"/>
          <w:sz w:val="24"/>
          <w:szCs w:val="24"/>
        </w:rPr>
      </w:pPr>
    </w:p>
    <w:p w:rsidR="006D38DE" w:rsidRPr="008F7DA5" w:rsidRDefault="006D38DE" w:rsidP="0078439E">
      <w:pPr>
        <w:widowControl w:val="0"/>
        <w:rPr>
          <w:rFonts w:ascii="Times New Roman" w:hAnsi="Times New Roman" w:cs="Times New Roman"/>
          <w:b/>
          <w:bCs/>
          <w:color w:val="264D74"/>
          <w:sz w:val="24"/>
          <w:szCs w:val="24"/>
        </w:rPr>
      </w:pPr>
      <w:r w:rsidRPr="008F7DA5">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6D38DE" w:rsidRPr="008F7DA5" w:rsidTr="00E45931">
        <w:tc>
          <w:tcPr>
            <w:tcW w:w="7848" w:type="dxa"/>
            <w:tcBorders>
              <w:top w:val="single" w:sz="8" w:space="0" w:color="4F81BD"/>
              <w:left w:val="nil"/>
              <w:bottom w:val="single" w:sz="8" w:space="0" w:color="4F81BD"/>
              <w:right w:val="nil"/>
            </w:tcBorders>
          </w:tcPr>
          <w:p w:rsidR="006D38DE" w:rsidRPr="008F7DA5" w:rsidRDefault="006D38DE" w:rsidP="0078439E">
            <w:pPr>
              <w:widowControl w:val="0"/>
              <w:rPr>
                <w:rFonts w:ascii="Times New Roman" w:hAnsi="Times New Roman" w:cs="Times New Roman"/>
                <w:b/>
                <w:bCs/>
                <w:color w:val="264D74"/>
                <w:sz w:val="24"/>
                <w:szCs w:val="24"/>
              </w:rPr>
            </w:pPr>
            <w:r w:rsidRPr="008F7DA5">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6D38DE" w:rsidRPr="008F7DA5" w:rsidRDefault="006D38DE" w:rsidP="0078439E">
            <w:pPr>
              <w:widowControl w:val="0"/>
              <w:jc w:val="center"/>
              <w:rPr>
                <w:rFonts w:ascii="Times New Roman" w:hAnsi="Times New Roman" w:cs="Times New Roman"/>
                <w:b/>
                <w:bCs/>
                <w:color w:val="264D74"/>
                <w:sz w:val="24"/>
                <w:szCs w:val="24"/>
              </w:rPr>
            </w:pPr>
            <w:r w:rsidRPr="008F7DA5">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6D38DE" w:rsidRPr="008F7DA5" w:rsidRDefault="006D38DE" w:rsidP="0078439E">
            <w:pPr>
              <w:widowControl w:val="0"/>
              <w:jc w:val="center"/>
              <w:rPr>
                <w:rFonts w:ascii="Times New Roman" w:hAnsi="Times New Roman" w:cs="Times New Roman"/>
                <w:b/>
                <w:bCs/>
                <w:color w:val="264D74"/>
                <w:sz w:val="24"/>
                <w:szCs w:val="24"/>
              </w:rPr>
            </w:pPr>
            <w:r w:rsidRPr="008F7DA5">
              <w:rPr>
                <w:rFonts w:ascii="Times New Roman" w:hAnsi="Times New Roman" w:cs="Times New Roman"/>
                <w:b/>
                <w:bCs/>
                <w:color w:val="264D74"/>
                <w:sz w:val="24"/>
                <w:szCs w:val="24"/>
              </w:rPr>
              <w:t>Version</w:t>
            </w:r>
          </w:p>
        </w:tc>
      </w:tr>
      <w:tr w:rsidR="006D38DE" w:rsidRPr="008F7DA5" w:rsidTr="00E45931">
        <w:tc>
          <w:tcPr>
            <w:tcW w:w="7848" w:type="dxa"/>
            <w:tcBorders>
              <w:top w:val="nil"/>
              <w:left w:val="nil"/>
              <w:bottom w:val="nil"/>
              <w:right w:val="nil"/>
            </w:tcBorders>
            <w:shd w:val="clear" w:color="auto" w:fill="D3DFEE"/>
          </w:tcPr>
          <w:p w:rsidR="006D38DE" w:rsidRPr="008F7DA5" w:rsidRDefault="006D38DE" w:rsidP="0078439E">
            <w:pPr>
              <w:widowControl w:val="0"/>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6D38DE" w:rsidRPr="008F7DA5" w:rsidRDefault="006D38DE" w:rsidP="0078439E">
            <w:pPr>
              <w:widowControl w:val="0"/>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6D38DE" w:rsidRPr="008F7DA5" w:rsidRDefault="006D38DE" w:rsidP="0078439E">
            <w:pPr>
              <w:widowControl w:val="0"/>
              <w:rPr>
                <w:rFonts w:ascii="Times New Roman" w:hAnsi="Times New Roman" w:cs="Times New Roman"/>
                <w:b/>
                <w:bCs/>
                <w:color w:val="264D74"/>
                <w:sz w:val="24"/>
                <w:szCs w:val="24"/>
              </w:rPr>
            </w:pPr>
          </w:p>
        </w:tc>
      </w:tr>
      <w:tr w:rsidR="006D38DE" w:rsidRPr="008F7DA5" w:rsidTr="00E45931">
        <w:tc>
          <w:tcPr>
            <w:tcW w:w="7848" w:type="dxa"/>
            <w:tcBorders>
              <w:top w:val="nil"/>
              <w:left w:val="nil"/>
              <w:bottom w:val="nil"/>
              <w:right w:val="nil"/>
            </w:tcBorders>
          </w:tcPr>
          <w:p w:rsidR="006D38DE" w:rsidRPr="008F7DA5" w:rsidRDefault="006D38DE" w:rsidP="0078439E">
            <w:pPr>
              <w:widowControl w:val="0"/>
              <w:rPr>
                <w:rFonts w:ascii="Times New Roman" w:hAnsi="Times New Roman" w:cs="Times New Roman"/>
                <w:b/>
                <w:bCs/>
                <w:color w:val="264D74"/>
                <w:sz w:val="24"/>
                <w:szCs w:val="24"/>
              </w:rPr>
            </w:pPr>
          </w:p>
        </w:tc>
        <w:tc>
          <w:tcPr>
            <w:tcW w:w="1620" w:type="dxa"/>
            <w:tcBorders>
              <w:top w:val="nil"/>
              <w:left w:val="nil"/>
              <w:bottom w:val="nil"/>
              <w:right w:val="nil"/>
            </w:tcBorders>
          </w:tcPr>
          <w:p w:rsidR="006D38DE" w:rsidRPr="008F7DA5" w:rsidRDefault="006D38DE" w:rsidP="0078439E">
            <w:pPr>
              <w:widowControl w:val="0"/>
              <w:rPr>
                <w:rFonts w:ascii="Times New Roman" w:hAnsi="Times New Roman" w:cs="Times New Roman"/>
                <w:b/>
                <w:bCs/>
                <w:color w:val="264D74"/>
                <w:sz w:val="24"/>
                <w:szCs w:val="24"/>
              </w:rPr>
            </w:pPr>
          </w:p>
        </w:tc>
        <w:tc>
          <w:tcPr>
            <w:tcW w:w="1548" w:type="dxa"/>
            <w:tcBorders>
              <w:top w:val="nil"/>
              <w:left w:val="nil"/>
              <w:bottom w:val="nil"/>
              <w:right w:val="nil"/>
            </w:tcBorders>
          </w:tcPr>
          <w:p w:rsidR="006D38DE" w:rsidRPr="008F7DA5" w:rsidRDefault="006D38DE" w:rsidP="0078439E">
            <w:pPr>
              <w:widowControl w:val="0"/>
              <w:rPr>
                <w:rFonts w:ascii="Times New Roman" w:hAnsi="Times New Roman" w:cs="Times New Roman"/>
                <w:b/>
                <w:bCs/>
                <w:color w:val="264D74"/>
                <w:sz w:val="24"/>
                <w:szCs w:val="24"/>
              </w:rPr>
            </w:pPr>
          </w:p>
        </w:tc>
      </w:tr>
      <w:tr w:rsidR="006D38DE" w:rsidRPr="008F7DA5" w:rsidTr="00E45931">
        <w:tc>
          <w:tcPr>
            <w:tcW w:w="7848" w:type="dxa"/>
            <w:tcBorders>
              <w:top w:val="nil"/>
              <w:left w:val="nil"/>
              <w:bottom w:val="single" w:sz="8" w:space="0" w:color="4F81BD"/>
              <w:right w:val="nil"/>
            </w:tcBorders>
            <w:shd w:val="clear" w:color="auto" w:fill="D3DFEE"/>
          </w:tcPr>
          <w:p w:rsidR="006D38DE" w:rsidRPr="008F7DA5" w:rsidRDefault="006D38DE" w:rsidP="0078439E">
            <w:pPr>
              <w:widowControl w:val="0"/>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6D38DE" w:rsidRPr="008F7DA5" w:rsidRDefault="006D38DE" w:rsidP="0078439E">
            <w:pPr>
              <w:widowControl w:val="0"/>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6D38DE" w:rsidRPr="008F7DA5" w:rsidRDefault="006D38DE" w:rsidP="0078439E">
            <w:pPr>
              <w:widowControl w:val="0"/>
              <w:rPr>
                <w:rFonts w:ascii="Times New Roman" w:hAnsi="Times New Roman" w:cs="Times New Roman"/>
                <w:b/>
                <w:bCs/>
                <w:color w:val="264D74"/>
                <w:sz w:val="24"/>
                <w:szCs w:val="24"/>
              </w:rPr>
            </w:pPr>
          </w:p>
        </w:tc>
      </w:tr>
    </w:tbl>
    <w:p w:rsidR="006D38DE" w:rsidRPr="00E80E5B" w:rsidRDefault="006D38DE" w:rsidP="00E80E5B">
      <w:pPr>
        <w:autoSpaceDE/>
        <w:autoSpaceDN/>
        <w:adjustRightInd/>
        <w:rPr>
          <w:rFonts w:ascii="Times New Roman" w:hAnsi="Times New Roman" w:cs="Times New Roman"/>
          <w:color w:val="365F91"/>
          <w:sz w:val="24"/>
          <w:szCs w:val="24"/>
        </w:rPr>
      </w:pPr>
    </w:p>
    <w:p w:rsidR="00BD5A84" w:rsidRPr="00E80E5B" w:rsidRDefault="00BD5A84" w:rsidP="00E80E5B">
      <w:pPr>
        <w:autoSpaceDE/>
        <w:autoSpaceDN/>
        <w:adjustRightInd/>
        <w:rPr>
          <w:rFonts w:ascii="Times New Roman" w:hAnsi="Times New Roman" w:cs="Times New Roman"/>
          <w:color w:val="365F91"/>
          <w:sz w:val="24"/>
          <w:szCs w:val="24"/>
        </w:rPr>
      </w:pPr>
    </w:p>
    <w:p w:rsidR="00DE3ADD" w:rsidRPr="008F7DA5" w:rsidRDefault="00DE3ADD" w:rsidP="00E80E5B">
      <w:pPr>
        <w:ind w:left="1170" w:hanging="630"/>
        <w:rPr>
          <w:rFonts w:ascii="Times New Roman" w:hAnsi="Times New Roman" w:cs="Times New Roman"/>
          <w:sz w:val="24"/>
          <w:szCs w:val="24"/>
        </w:rPr>
      </w:pPr>
      <w:r w:rsidRPr="008F7DA5">
        <w:rPr>
          <w:rFonts w:ascii="Times New Roman" w:hAnsi="Times New Roman" w:cs="Times New Roman"/>
          <w:b/>
          <w:bCs/>
          <w:sz w:val="24"/>
          <w:szCs w:val="24"/>
        </w:rPr>
        <w:t>R3.</w:t>
      </w:r>
      <w:r w:rsidR="00E80E5B">
        <w:rPr>
          <w:rFonts w:ascii="Times New Roman" w:hAnsi="Times New Roman" w:cs="Times New Roman"/>
          <w:b/>
          <w:bCs/>
          <w:sz w:val="24"/>
          <w:szCs w:val="24"/>
        </w:rPr>
        <w:tab/>
      </w:r>
      <w:r w:rsidRPr="008F7DA5">
        <w:rPr>
          <w:rFonts w:ascii="Times New Roman" w:hAnsi="Times New Roman" w:cs="Times New Roman"/>
          <w:sz w:val="24"/>
          <w:szCs w:val="24"/>
        </w:rPr>
        <w:t>Critical Cyber Asset Identification — Using the list of Critical Assets developed pursuant to</w:t>
      </w:r>
      <w:r w:rsidR="00F60B5F">
        <w:rPr>
          <w:rFonts w:ascii="Times New Roman" w:hAnsi="Times New Roman" w:cs="Times New Roman"/>
          <w:sz w:val="24"/>
          <w:szCs w:val="24"/>
        </w:rPr>
        <w:t xml:space="preserve"> </w:t>
      </w:r>
      <w:r w:rsidRPr="008F7DA5">
        <w:rPr>
          <w:rFonts w:ascii="Times New Roman" w:hAnsi="Times New Roman" w:cs="Times New Roman"/>
          <w:sz w:val="24"/>
          <w:szCs w:val="24"/>
        </w:rPr>
        <w:t>Requirement R2, the Responsible Entity shall develop a list of associated Critical Cyber Assets</w:t>
      </w:r>
      <w:r w:rsidR="00F60B5F">
        <w:rPr>
          <w:rFonts w:ascii="Times New Roman" w:hAnsi="Times New Roman" w:cs="Times New Roman"/>
          <w:sz w:val="24"/>
          <w:szCs w:val="24"/>
        </w:rPr>
        <w:t xml:space="preserve"> </w:t>
      </w:r>
      <w:r w:rsidRPr="008F7DA5">
        <w:rPr>
          <w:rFonts w:ascii="Times New Roman" w:hAnsi="Times New Roman" w:cs="Times New Roman"/>
          <w:sz w:val="24"/>
          <w:szCs w:val="24"/>
        </w:rPr>
        <w:t xml:space="preserve">essential to the operation of the Critical Asset. </w:t>
      </w:r>
      <w:r w:rsidR="00F60B5F">
        <w:rPr>
          <w:rFonts w:ascii="Times New Roman" w:hAnsi="Times New Roman" w:cs="Times New Roman"/>
          <w:sz w:val="24"/>
          <w:szCs w:val="24"/>
        </w:rPr>
        <w:t xml:space="preserve"> </w:t>
      </w:r>
      <w:r w:rsidRPr="008F7DA5">
        <w:rPr>
          <w:rFonts w:ascii="Times New Roman" w:hAnsi="Times New Roman" w:cs="Times New Roman"/>
          <w:sz w:val="24"/>
          <w:szCs w:val="24"/>
        </w:rPr>
        <w:t>Examples at control centers and backup control</w:t>
      </w:r>
      <w:r w:rsidR="00F60B5F">
        <w:rPr>
          <w:rFonts w:ascii="Times New Roman" w:hAnsi="Times New Roman" w:cs="Times New Roman"/>
          <w:sz w:val="24"/>
          <w:szCs w:val="24"/>
        </w:rPr>
        <w:t xml:space="preserve"> </w:t>
      </w:r>
      <w:r w:rsidRPr="008F7DA5">
        <w:rPr>
          <w:rFonts w:ascii="Times New Roman" w:hAnsi="Times New Roman" w:cs="Times New Roman"/>
          <w:sz w:val="24"/>
          <w:szCs w:val="24"/>
        </w:rPr>
        <w:t>centers include systems and facilities at master and remote sites that provide monitoring and</w:t>
      </w:r>
      <w:r w:rsidR="00F60B5F">
        <w:rPr>
          <w:rFonts w:ascii="Times New Roman" w:hAnsi="Times New Roman" w:cs="Times New Roman"/>
          <w:sz w:val="24"/>
          <w:szCs w:val="24"/>
        </w:rPr>
        <w:t xml:space="preserve"> </w:t>
      </w:r>
      <w:r w:rsidRPr="008F7DA5">
        <w:rPr>
          <w:rFonts w:ascii="Times New Roman" w:hAnsi="Times New Roman" w:cs="Times New Roman"/>
          <w:sz w:val="24"/>
          <w:szCs w:val="24"/>
        </w:rPr>
        <w:t>control, automatic generation control, real-time power system modeling, and real-time inter</w:t>
      </w:r>
      <w:r w:rsidR="00F60B5F">
        <w:rPr>
          <w:rFonts w:ascii="Times New Roman" w:hAnsi="Times New Roman" w:cs="Times New Roman"/>
          <w:sz w:val="24"/>
          <w:szCs w:val="24"/>
        </w:rPr>
        <w:t>-</w:t>
      </w:r>
      <w:r w:rsidRPr="008F7DA5">
        <w:rPr>
          <w:rFonts w:ascii="Times New Roman" w:hAnsi="Times New Roman" w:cs="Times New Roman"/>
          <w:sz w:val="24"/>
          <w:szCs w:val="24"/>
        </w:rPr>
        <w:t>utility</w:t>
      </w:r>
      <w:r w:rsidR="00F60B5F">
        <w:rPr>
          <w:rFonts w:ascii="Times New Roman" w:hAnsi="Times New Roman" w:cs="Times New Roman"/>
          <w:sz w:val="24"/>
          <w:szCs w:val="24"/>
        </w:rPr>
        <w:t xml:space="preserve"> </w:t>
      </w:r>
      <w:r w:rsidRPr="008F7DA5">
        <w:rPr>
          <w:rFonts w:ascii="Times New Roman" w:hAnsi="Times New Roman" w:cs="Times New Roman"/>
          <w:sz w:val="24"/>
          <w:szCs w:val="24"/>
        </w:rPr>
        <w:t xml:space="preserve">data exchange. </w:t>
      </w:r>
      <w:r w:rsidR="00F60B5F">
        <w:rPr>
          <w:rFonts w:ascii="Times New Roman" w:hAnsi="Times New Roman" w:cs="Times New Roman"/>
          <w:sz w:val="24"/>
          <w:szCs w:val="24"/>
        </w:rPr>
        <w:t xml:space="preserve"> </w:t>
      </w:r>
      <w:r w:rsidRPr="008F7DA5">
        <w:rPr>
          <w:rFonts w:ascii="Times New Roman" w:hAnsi="Times New Roman" w:cs="Times New Roman"/>
          <w:sz w:val="24"/>
          <w:szCs w:val="24"/>
        </w:rPr>
        <w:t>The Responsible Entity shall review this list at least annually, and</w:t>
      </w:r>
      <w:r w:rsidR="00F60B5F">
        <w:rPr>
          <w:rFonts w:ascii="Times New Roman" w:hAnsi="Times New Roman" w:cs="Times New Roman"/>
          <w:sz w:val="24"/>
          <w:szCs w:val="24"/>
        </w:rPr>
        <w:t xml:space="preserve"> </w:t>
      </w:r>
      <w:r w:rsidRPr="008F7DA5">
        <w:rPr>
          <w:rFonts w:ascii="Times New Roman" w:hAnsi="Times New Roman" w:cs="Times New Roman"/>
          <w:sz w:val="24"/>
          <w:szCs w:val="24"/>
        </w:rPr>
        <w:t>update it as necessary.</w:t>
      </w:r>
      <w:r w:rsidR="00F60B5F">
        <w:rPr>
          <w:rFonts w:ascii="Times New Roman" w:hAnsi="Times New Roman" w:cs="Times New Roman"/>
          <w:sz w:val="24"/>
          <w:szCs w:val="24"/>
        </w:rPr>
        <w:t xml:space="preserve"> </w:t>
      </w:r>
      <w:r w:rsidRPr="008F7DA5">
        <w:rPr>
          <w:rFonts w:ascii="Times New Roman" w:hAnsi="Times New Roman" w:cs="Times New Roman"/>
          <w:sz w:val="24"/>
          <w:szCs w:val="24"/>
        </w:rPr>
        <w:t xml:space="preserve"> For the purpose of Standard CIP-002</w:t>
      </w:r>
      <w:r w:rsidR="00AD3AC5">
        <w:rPr>
          <w:rFonts w:ascii="Times New Roman" w:hAnsi="Times New Roman" w:cs="Times New Roman"/>
          <w:sz w:val="24"/>
          <w:szCs w:val="24"/>
        </w:rPr>
        <w:t>-3</w:t>
      </w:r>
      <w:r w:rsidRPr="008F7DA5">
        <w:rPr>
          <w:rFonts w:ascii="Times New Roman" w:hAnsi="Times New Roman" w:cs="Times New Roman"/>
          <w:sz w:val="24"/>
          <w:szCs w:val="24"/>
        </w:rPr>
        <w:t>, Critical Cyber Assets are further</w:t>
      </w:r>
      <w:r w:rsidR="00F60B5F">
        <w:rPr>
          <w:rFonts w:ascii="Times New Roman" w:hAnsi="Times New Roman" w:cs="Times New Roman"/>
          <w:sz w:val="24"/>
          <w:szCs w:val="24"/>
        </w:rPr>
        <w:t xml:space="preserve"> </w:t>
      </w:r>
      <w:r w:rsidRPr="008F7DA5">
        <w:rPr>
          <w:rFonts w:ascii="Times New Roman" w:hAnsi="Times New Roman" w:cs="Times New Roman"/>
          <w:sz w:val="24"/>
          <w:szCs w:val="24"/>
        </w:rPr>
        <w:t>qualified to be those having at least one of the following characteristics:</w:t>
      </w:r>
    </w:p>
    <w:p w:rsidR="00DE3ADD" w:rsidRPr="008F7DA5" w:rsidRDefault="00DE3ADD" w:rsidP="0078439E">
      <w:pPr>
        <w:ind w:left="1170"/>
        <w:rPr>
          <w:rFonts w:ascii="Times New Roman" w:hAnsi="Times New Roman" w:cs="Times New Roman"/>
          <w:sz w:val="24"/>
          <w:szCs w:val="24"/>
        </w:rPr>
      </w:pPr>
    </w:p>
    <w:p w:rsidR="00DE3ADD" w:rsidRPr="008F7DA5" w:rsidRDefault="00DE3ADD" w:rsidP="00E80E5B">
      <w:pPr>
        <w:ind w:left="1890" w:hanging="720"/>
        <w:rPr>
          <w:rFonts w:ascii="Times New Roman" w:hAnsi="Times New Roman" w:cs="Times New Roman"/>
          <w:sz w:val="24"/>
          <w:szCs w:val="24"/>
        </w:rPr>
      </w:pPr>
      <w:r w:rsidRPr="008F7DA5">
        <w:rPr>
          <w:rFonts w:ascii="Times New Roman" w:hAnsi="Times New Roman" w:cs="Times New Roman"/>
          <w:b/>
          <w:bCs/>
          <w:sz w:val="24"/>
          <w:szCs w:val="24"/>
        </w:rPr>
        <w:t>R3.1.</w:t>
      </w:r>
      <w:r w:rsidR="00E80E5B">
        <w:rPr>
          <w:rFonts w:ascii="Times New Roman" w:hAnsi="Times New Roman" w:cs="Times New Roman"/>
          <w:b/>
          <w:bCs/>
          <w:sz w:val="24"/>
          <w:szCs w:val="24"/>
        </w:rPr>
        <w:tab/>
      </w:r>
      <w:r w:rsidRPr="008F7DA5">
        <w:rPr>
          <w:rFonts w:ascii="Times New Roman" w:hAnsi="Times New Roman" w:cs="Times New Roman"/>
          <w:sz w:val="24"/>
          <w:szCs w:val="24"/>
        </w:rPr>
        <w:t>The Cyber Asset uses a routable protocol to communicate outside the Electronic</w:t>
      </w:r>
      <w:r w:rsidR="00F60B5F">
        <w:rPr>
          <w:rFonts w:ascii="Times New Roman" w:hAnsi="Times New Roman" w:cs="Times New Roman"/>
          <w:sz w:val="24"/>
          <w:szCs w:val="24"/>
        </w:rPr>
        <w:t xml:space="preserve"> </w:t>
      </w:r>
      <w:r w:rsidRPr="008F7DA5">
        <w:rPr>
          <w:rFonts w:ascii="Times New Roman" w:hAnsi="Times New Roman" w:cs="Times New Roman"/>
          <w:sz w:val="24"/>
          <w:szCs w:val="24"/>
        </w:rPr>
        <w:t>Security Perimeter; or,</w:t>
      </w:r>
    </w:p>
    <w:p w:rsidR="00DE3ADD" w:rsidRPr="008F7DA5" w:rsidRDefault="00DE3ADD" w:rsidP="00E80E5B">
      <w:pPr>
        <w:ind w:left="1890" w:hanging="720"/>
        <w:rPr>
          <w:rFonts w:ascii="Times New Roman" w:hAnsi="Times New Roman" w:cs="Times New Roman"/>
          <w:sz w:val="24"/>
          <w:szCs w:val="24"/>
        </w:rPr>
      </w:pPr>
    </w:p>
    <w:p w:rsidR="00DE3ADD" w:rsidRPr="008F7DA5" w:rsidRDefault="00DE3ADD" w:rsidP="00E80E5B">
      <w:pPr>
        <w:ind w:left="1890" w:hanging="720"/>
        <w:rPr>
          <w:rFonts w:ascii="Times New Roman" w:hAnsi="Times New Roman" w:cs="Times New Roman"/>
          <w:sz w:val="24"/>
          <w:szCs w:val="24"/>
        </w:rPr>
      </w:pPr>
      <w:r w:rsidRPr="008F7DA5">
        <w:rPr>
          <w:rFonts w:ascii="Times New Roman" w:hAnsi="Times New Roman" w:cs="Times New Roman"/>
          <w:b/>
          <w:bCs/>
          <w:sz w:val="24"/>
          <w:szCs w:val="24"/>
        </w:rPr>
        <w:t>R3.2.</w:t>
      </w:r>
      <w:r w:rsidR="00E80E5B">
        <w:rPr>
          <w:rFonts w:ascii="Times New Roman" w:hAnsi="Times New Roman" w:cs="Times New Roman"/>
          <w:b/>
          <w:bCs/>
          <w:sz w:val="24"/>
          <w:szCs w:val="24"/>
        </w:rPr>
        <w:tab/>
      </w:r>
      <w:r w:rsidRPr="008F7DA5">
        <w:rPr>
          <w:rFonts w:ascii="Times New Roman" w:hAnsi="Times New Roman" w:cs="Times New Roman"/>
          <w:sz w:val="24"/>
          <w:szCs w:val="24"/>
        </w:rPr>
        <w:t>The Cyber Asset uses a routable protocol within a control center; or,</w:t>
      </w:r>
    </w:p>
    <w:p w:rsidR="00DE3ADD" w:rsidRPr="008F7DA5" w:rsidRDefault="00DE3ADD" w:rsidP="00E80E5B">
      <w:pPr>
        <w:ind w:left="1890" w:hanging="720"/>
        <w:rPr>
          <w:rFonts w:ascii="Times New Roman" w:hAnsi="Times New Roman" w:cs="Times New Roman"/>
          <w:sz w:val="24"/>
          <w:szCs w:val="24"/>
        </w:rPr>
      </w:pPr>
    </w:p>
    <w:p w:rsidR="004101D3" w:rsidRPr="008F7DA5" w:rsidRDefault="00DE3ADD" w:rsidP="00E80E5B">
      <w:pPr>
        <w:autoSpaceDE/>
        <w:autoSpaceDN/>
        <w:adjustRightInd/>
        <w:ind w:left="1890" w:hanging="720"/>
        <w:rPr>
          <w:rFonts w:ascii="Times New Roman" w:hAnsi="Times New Roman" w:cs="Times New Roman"/>
          <w:sz w:val="24"/>
          <w:szCs w:val="24"/>
        </w:rPr>
      </w:pPr>
      <w:r w:rsidRPr="008F7DA5">
        <w:rPr>
          <w:rFonts w:ascii="Times New Roman" w:hAnsi="Times New Roman" w:cs="Times New Roman"/>
          <w:b/>
          <w:bCs/>
          <w:sz w:val="24"/>
          <w:szCs w:val="24"/>
        </w:rPr>
        <w:t>R3.3.</w:t>
      </w:r>
      <w:r w:rsidR="00E80E5B">
        <w:rPr>
          <w:rFonts w:ascii="Times New Roman" w:hAnsi="Times New Roman" w:cs="Times New Roman"/>
          <w:b/>
          <w:bCs/>
          <w:sz w:val="24"/>
          <w:szCs w:val="24"/>
        </w:rPr>
        <w:tab/>
      </w:r>
      <w:r w:rsidRPr="008F7DA5">
        <w:rPr>
          <w:rFonts w:ascii="Times New Roman" w:hAnsi="Times New Roman" w:cs="Times New Roman"/>
          <w:sz w:val="24"/>
          <w:szCs w:val="24"/>
        </w:rPr>
        <w:t>The Cyber Asset is dial-up accessible.</w:t>
      </w:r>
    </w:p>
    <w:p w:rsidR="00E238D1" w:rsidRPr="008F7DA5" w:rsidRDefault="00E238D1" w:rsidP="0078439E">
      <w:pPr>
        <w:autoSpaceDE/>
        <w:autoSpaceDN/>
        <w:adjustRightInd/>
        <w:ind w:left="1170"/>
        <w:rPr>
          <w:rFonts w:ascii="Times New Roman" w:hAnsi="Times New Roman" w:cs="Times New Roman"/>
          <w:sz w:val="24"/>
          <w:szCs w:val="24"/>
        </w:rPr>
      </w:pPr>
    </w:p>
    <w:p w:rsidR="00F226F6" w:rsidRDefault="00F226F6" w:rsidP="0078439E">
      <w:pPr>
        <w:widowControl w:val="0"/>
        <w:ind w:left="720"/>
        <w:rPr>
          <w:rFonts w:ascii="Times New Roman" w:hAnsi="Times New Roman" w:cs="Times New Roman"/>
          <w:b/>
          <w:bCs/>
          <w:i/>
          <w:iCs/>
          <w:color w:val="000000"/>
          <w:sz w:val="24"/>
          <w:szCs w:val="24"/>
        </w:rPr>
      </w:pPr>
      <w:r>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F226F6" w:rsidRDefault="00F226F6" w:rsidP="0078439E">
      <w:pPr>
        <w:widowControl w:val="0"/>
        <w:ind w:left="720"/>
        <w:rPr>
          <w:rFonts w:ascii="Times New Roman" w:hAnsi="Times New Roman" w:cs="Times New Roman"/>
          <w:sz w:val="24"/>
          <w:szCs w:val="24"/>
        </w:rPr>
      </w:pPr>
    </w:p>
    <w:p w:rsidR="00F226F6" w:rsidRDefault="00F226F6" w:rsidP="0078439E">
      <w:pPr>
        <w:widowControl w:val="0"/>
        <w:shd w:val="clear" w:color="auto" w:fill="D3DCE9"/>
        <w:ind w:left="720"/>
        <w:rPr>
          <w:rFonts w:ascii="Times New Roman" w:hAnsi="Times New Roman" w:cs="Times New Roman"/>
          <w:bCs/>
          <w:color w:val="264D74"/>
          <w:sz w:val="24"/>
          <w:szCs w:val="24"/>
        </w:rPr>
      </w:pPr>
    </w:p>
    <w:p w:rsidR="00F226F6" w:rsidRDefault="00F226F6" w:rsidP="0078439E">
      <w:pPr>
        <w:widowControl w:val="0"/>
        <w:shd w:val="clear" w:color="auto" w:fill="D3DCE9"/>
        <w:ind w:left="720"/>
        <w:rPr>
          <w:rFonts w:ascii="Times New Roman" w:hAnsi="Times New Roman" w:cs="Times New Roman"/>
          <w:bCs/>
          <w:color w:val="264D74"/>
          <w:sz w:val="24"/>
          <w:szCs w:val="24"/>
        </w:rPr>
      </w:pPr>
    </w:p>
    <w:p w:rsidR="00DE3ADD" w:rsidRDefault="00DE3ADD" w:rsidP="0078439E">
      <w:pPr>
        <w:rPr>
          <w:rFonts w:ascii="Times New Roman" w:hAnsi="Times New Roman" w:cs="Times New Roman"/>
          <w:b/>
          <w:bCs/>
          <w:sz w:val="24"/>
          <w:szCs w:val="24"/>
        </w:rPr>
      </w:pPr>
    </w:p>
    <w:p w:rsidR="00E45931" w:rsidRPr="008F7DA5" w:rsidRDefault="00E45931" w:rsidP="0078439E">
      <w:pPr>
        <w:widowControl w:val="0"/>
        <w:rPr>
          <w:rFonts w:ascii="Times New Roman" w:hAnsi="Times New Roman" w:cs="Times New Roman"/>
          <w:b/>
          <w:bCs/>
          <w:color w:val="C00000"/>
          <w:sz w:val="24"/>
          <w:szCs w:val="24"/>
        </w:rPr>
      </w:pPr>
      <w:r w:rsidRPr="008F7DA5">
        <w:rPr>
          <w:rFonts w:ascii="Times New Roman" w:hAnsi="Times New Roman" w:cs="Times New Roman"/>
          <w:b/>
          <w:i/>
          <w:iCs/>
          <w:color w:val="C00000"/>
          <w:sz w:val="24"/>
          <w:szCs w:val="24"/>
        </w:rPr>
        <w:t>This section must be completed by the Compliance Enforcement Authority.</w:t>
      </w:r>
    </w:p>
    <w:p w:rsidR="00E45931" w:rsidRDefault="00E45931" w:rsidP="0078439E">
      <w:pPr>
        <w:rPr>
          <w:rFonts w:ascii="Times New Roman" w:hAnsi="Times New Roman" w:cs="Times New Roman"/>
          <w:b/>
          <w:bCs/>
          <w:sz w:val="24"/>
          <w:szCs w:val="24"/>
        </w:rPr>
      </w:pPr>
    </w:p>
    <w:p w:rsidR="00CB02C5" w:rsidRPr="008F7DA5" w:rsidRDefault="00CB02C5" w:rsidP="0078439E">
      <w:pPr>
        <w:widowControl w:val="0"/>
        <w:rPr>
          <w:rFonts w:ascii="Times New Roman" w:hAnsi="Times New Roman" w:cs="Times New Roman"/>
          <w:b/>
          <w:bCs/>
          <w:color w:val="264D74"/>
          <w:sz w:val="24"/>
          <w:szCs w:val="24"/>
        </w:rPr>
      </w:pPr>
      <w:r w:rsidRPr="008F7DA5">
        <w:rPr>
          <w:rFonts w:ascii="Times New Roman" w:hAnsi="Times New Roman" w:cs="Times New Roman"/>
          <w:b/>
          <w:bCs/>
          <w:color w:val="264D74"/>
          <w:sz w:val="24"/>
          <w:szCs w:val="24"/>
        </w:rPr>
        <w:t>Compliance Assessment Approach Specific to CIP-</w:t>
      </w:r>
      <w:r w:rsidR="00A535FB">
        <w:rPr>
          <w:rFonts w:ascii="Times New Roman" w:hAnsi="Times New Roman" w:cs="Times New Roman"/>
          <w:b/>
          <w:bCs/>
          <w:color w:val="264D74"/>
          <w:sz w:val="24"/>
          <w:szCs w:val="24"/>
        </w:rPr>
        <w:t>002-3</w:t>
      </w:r>
      <w:r w:rsidRPr="008F7DA5">
        <w:rPr>
          <w:rFonts w:ascii="Times New Roman" w:hAnsi="Times New Roman" w:cs="Times New Roman"/>
          <w:b/>
          <w:bCs/>
          <w:color w:val="264D74"/>
          <w:sz w:val="24"/>
          <w:szCs w:val="24"/>
        </w:rPr>
        <w:t xml:space="preserve"> R3.</w:t>
      </w:r>
    </w:p>
    <w:p w:rsidR="00CB02C5" w:rsidRPr="00E80E5B" w:rsidRDefault="00CB02C5" w:rsidP="00E80E5B">
      <w:pPr>
        <w:autoSpaceDE/>
        <w:autoSpaceDN/>
        <w:adjustRightInd/>
        <w:rPr>
          <w:rFonts w:ascii="Times New Roman" w:hAnsi="Times New Roman" w:cs="Times New Roman"/>
          <w:color w:val="365F91"/>
          <w:sz w:val="24"/>
          <w:szCs w:val="24"/>
        </w:rPr>
      </w:pPr>
    </w:p>
    <w:p w:rsidR="00CB02C5" w:rsidRDefault="00E80E5B" w:rsidP="00E80E5B">
      <w:pPr>
        <w:widowControl w:val="0"/>
        <w:ind w:left="1440" w:hanging="720"/>
        <w:rPr>
          <w:rFonts w:ascii="Times New Roman" w:hAnsi="Times New Roman" w:cs="Times New Roman"/>
          <w:color w:val="365F91"/>
          <w:sz w:val="24"/>
          <w:szCs w:val="24"/>
        </w:rPr>
      </w:pPr>
      <w:r w:rsidRPr="009A78BE">
        <w:rPr>
          <w:rFonts w:ascii="Times New Roman" w:hAnsi="Times New Roman" w:cs="Times New Roman"/>
          <w:b/>
          <w:color w:val="365F91"/>
          <w:sz w:val="24"/>
          <w:szCs w:val="24"/>
        </w:rPr>
        <w:t>____</w:t>
      </w:r>
      <w:r>
        <w:rPr>
          <w:rFonts w:ascii="Times New Roman" w:hAnsi="Times New Roman" w:cs="Times New Roman"/>
          <w:color w:val="365F91"/>
          <w:sz w:val="24"/>
          <w:szCs w:val="24"/>
        </w:rPr>
        <w:tab/>
      </w:r>
      <w:r w:rsidR="00CB02C5" w:rsidRPr="00CB02C5">
        <w:rPr>
          <w:rFonts w:ascii="Times New Roman" w:hAnsi="Times New Roman" w:cs="Times New Roman"/>
          <w:color w:val="365F91"/>
          <w:sz w:val="24"/>
          <w:szCs w:val="24"/>
        </w:rPr>
        <w:t>Verify that the Responsible Entity developed its Critical Cyber Asset list based on its Critical Asset list developed in R2.</w:t>
      </w:r>
    </w:p>
    <w:p w:rsidR="00E80E5B" w:rsidRPr="00E80E5B" w:rsidRDefault="00E80E5B" w:rsidP="00E80E5B">
      <w:pPr>
        <w:autoSpaceDE/>
        <w:autoSpaceDN/>
        <w:adjustRightInd/>
        <w:rPr>
          <w:rFonts w:ascii="Times New Roman" w:hAnsi="Times New Roman" w:cs="Times New Roman"/>
          <w:color w:val="365F91"/>
          <w:sz w:val="24"/>
          <w:szCs w:val="24"/>
        </w:rPr>
      </w:pPr>
    </w:p>
    <w:p w:rsidR="00CB02C5" w:rsidRDefault="00E80E5B" w:rsidP="00E80E5B">
      <w:pPr>
        <w:widowControl w:val="0"/>
        <w:ind w:left="1440" w:hanging="720"/>
        <w:rPr>
          <w:rFonts w:ascii="Times New Roman" w:hAnsi="Times New Roman" w:cs="Times New Roman"/>
          <w:color w:val="365F91"/>
          <w:sz w:val="24"/>
          <w:szCs w:val="24"/>
        </w:rPr>
      </w:pPr>
      <w:r w:rsidRPr="009A78BE">
        <w:rPr>
          <w:rFonts w:ascii="Times New Roman" w:hAnsi="Times New Roman" w:cs="Times New Roman"/>
          <w:b/>
          <w:color w:val="365F91"/>
          <w:sz w:val="24"/>
          <w:szCs w:val="24"/>
        </w:rPr>
        <w:t>____</w:t>
      </w:r>
      <w:r>
        <w:rPr>
          <w:rFonts w:ascii="Times New Roman" w:hAnsi="Times New Roman" w:cs="Times New Roman"/>
          <w:color w:val="365F91"/>
          <w:sz w:val="24"/>
          <w:szCs w:val="24"/>
        </w:rPr>
        <w:tab/>
      </w:r>
      <w:r w:rsidR="00CB02C5" w:rsidRPr="00CB02C5">
        <w:rPr>
          <w:rFonts w:ascii="Times New Roman" w:hAnsi="Times New Roman" w:cs="Times New Roman"/>
          <w:color w:val="365F91"/>
          <w:sz w:val="24"/>
          <w:szCs w:val="24"/>
        </w:rPr>
        <w:t>Ensure the Responsible Entity’s Critical Cyber Asset identification process consider</w:t>
      </w:r>
      <w:r>
        <w:rPr>
          <w:rFonts w:ascii="Times New Roman" w:hAnsi="Times New Roman" w:cs="Times New Roman"/>
          <w:color w:val="365F91"/>
          <w:sz w:val="24"/>
          <w:szCs w:val="24"/>
        </w:rPr>
        <w:t>ed</w:t>
      </w:r>
      <w:r w:rsidR="00CB02C5" w:rsidRPr="00CB02C5">
        <w:rPr>
          <w:rFonts w:ascii="Times New Roman" w:hAnsi="Times New Roman" w:cs="Times New Roman"/>
          <w:color w:val="365F91"/>
          <w:sz w:val="24"/>
          <w:szCs w:val="24"/>
        </w:rPr>
        <w:t xml:space="preserve"> all cyber assets supporting the reliability functions of the Critical Asset, including but not limited to systems and facilities at master and remote sites that provide monitoring and control, automatic generation control, real</w:t>
      </w:r>
      <w:r w:rsidR="00CB02C5" w:rsidRPr="00CB02C5">
        <w:rPr>
          <w:rFonts w:ascii="Times New Roman" w:hAnsi="Times New Roman" w:cs="Times New Roman"/>
          <w:color w:val="365F91"/>
          <w:sz w:val="24"/>
          <w:szCs w:val="24"/>
        </w:rPr>
        <w:noBreakHyphen/>
        <w:t>time power system modeling and real</w:t>
      </w:r>
      <w:r w:rsidR="00CB02C5" w:rsidRPr="00CB02C5">
        <w:rPr>
          <w:rFonts w:ascii="Times New Roman" w:hAnsi="Times New Roman" w:cs="Times New Roman"/>
          <w:color w:val="365F91"/>
          <w:sz w:val="24"/>
          <w:szCs w:val="24"/>
        </w:rPr>
        <w:noBreakHyphen/>
        <w:t>time inter</w:t>
      </w:r>
      <w:r w:rsidR="00CB02C5" w:rsidRPr="00CB02C5">
        <w:rPr>
          <w:rFonts w:ascii="Times New Roman" w:hAnsi="Times New Roman" w:cs="Times New Roman"/>
          <w:color w:val="365F91"/>
          <w:sz w:val="24"/>
          <w:szCs w:val="24"/>
        </w:rPr>
        <w:noBreakHyphen/>
        <w:t>utility data exchange.</w:t>
      </w:r>
    </w:p>
    <w:p w:rsidR="00E80E5B" w:rsidRPr="00E80E5B" w:rsidRDefault="00E80E5B" w:rsidP="00E80E5B">
      <w:pPr>
        <w:autoSpaceDE/>
        <w:autoSpaceDN/>
        <w:adjustRightInd/>
        <w:rPr>
          <w:rFonts w:ascii="Times New Roman" w:hAnsi="Times New Roman" w:cs="Times New Roman"/>
          <w:color w:val="365F91"/>
          <w:sz w:val="24"/>
          <w:szCs w:val="24"/>
        </w:rPr>
      </w:pPr>
    </w:p>
    <w:p w:rsidR="00D77985" w:rsidRDefault="00E80E5B" w:rsidP="00E80E5B">
      <w:pPr>
        <w:widowControl w:val="0"/>
        <w:ind w:left="1440" w:hanging="720"/>
        <w:rPr>
          <w:rFonts w:ascii="Times New Roman" w:hAnsi="Times New Roman" w:cs="Times New Roman"/>
          <w:color w:val="365F91"/>
          <w:sz w:val="24"/>
          <w:szCs w:val="24"/>
        </w:rPr>
      </w:pPr>
      <w:r w:rsidRPr="009A78BE">
        <w:rPr>
          <w:rFonts w:ascii="Times New Roman" w:hAnsi="Times New Roman" w:cs="Times New Roman"/>
          <w:b/>
          <w:color w:val="365F91"/>
          <w:sz w:val="24"/>
          <w:szCs w:val="24"/>
        </w:rPr>
        <w:t>____</w:t>
      </w:r>
      <w:r>
        <w:rPr>
          <w:rFonts w:ascii="Times New Roman" w:hAnsi="Times New Roman" w:cs="Times New Roman"/>
          <w:color w:val="365F91"/>
          <w:sz w:val="24"/>
          <w:szCs w:val="24"/>
        </w:rPr>
        <w:tab/>
      </w:r>
      <w:r w:rsidR="00D77985" w:rsidRPr="006D38DE">
        <w:rPr>
          <w:rFonts w:ascii="Times New Roman" w:hAnsi="Times New Roman" w:cs="Times New Roman"/>
          <w:color w:val="365F91"/>
          <w:sz w:val="24"/>
          <w:szCs w:val="24"/>
        </w:rPr>
        <w:t>Ensure the Responsible Entity reviews its Critical</w:t>
      </w:r>
      <w:r w:rsidR="00D77985">
        <w:rPr>
          <w:rFonts w:ascii="Times New Roman" w:hAnsi="Times New Roman" w:cs="Times New Roman"/>
          <w:color w:val="365F91"/>
          <w:sz w:val="24"/>
          <w:szCs w:val="24"/>
        </w:rPr>
        <w:t xml:space="preserve"> Cyber</w:t>
      </w:r>
      <w:r w:rsidR="00D77985" w:rsidRPr="006D38DE">
        <w:rPr>
          <w:rFonts w:ascii="Times New Roman" w:hAnsi="Times New Roman" w:cs="Times New Roman"/>
          <w:color w:val="365F91"/>
          <w:sz w:val="24"/>
          <w:szCs w:val="24"/>
        </w:rPr>
        <w:t xml:space="preserve"> Asset list annually (this validation begins after the Auditably Compliant start date based on registration).</w:t>
      </w:r>
    </w:p>
    <w:p w:rsidR="002D4193" w:rsidRPr="006D38DE" w:rsidRDefault="00E80E5B" w:rsidP="00E80E5B">
      <w:pPr>
        <w:widowControl w:val="0"/>
        <w:ind w:left="2160" w:hanging="720"/>
        <w:rPr>
          <w:rFonts w:ascii="Times New Roman" w:hAnsi="Times New Roman" w:cs="Times New Roman"/>
          <w:color w:val="365F91"/>
          <w:sz w:val="24"/>
          <w:szCs w:val="24"/>
        </w:rPr>
      </w:pPr>
      <w:r w:rsidRPr="009A78BE">
        <w:rPr>
          <w:rFonts w:ascii="Times New Roman" w:hAnsi="Times New Roman" w:cs="Times New Roman"/>
          <w:b/>
          <w:color w:val="365F91"/>
          <w:sz w:val="24"/>
          <w:szCs w:val="24"/>
        </w:rPr>
        <w:t>____</w:t>
      </w:r>
      <w:r>
        <w:rPr>
          <w:rFonts w:ascii="Times New Roman" w:hAnsi="Times New Roman" w:cs="Times New Roman"/>
          <w:color w:val="365F91"/>
          <w:sz w:val="24"/>
          <w:szCs w:val="24"/>
        </w:rPr>
        <w:tab/>
      </w:r>
      <w:r w:rsidR="002D4193" w:rsidRPr="006D38DE">
        <w:rPr>
          <w:rFonts w:ascii="Times New Roman" w:hAnsi="Times New Roman" w:cs="Times New Roman"/>
          <w:color w:val="365F91"/>
          <w:sz w:val="24"/>
          <w:szCs w:val="24"/>
        </w:rPr>
        <w:t>Ensure the Responsible Entity includes updates to the Critical</w:t>
      </w:r>
      <w:r w:rsidR="002D4193">
        <w:rPr>
          <w:rFonts w:ascii="Times New Roman" w:hAnsi="Times New Roman" w:cs="Times New Roman"/>
          <w:color w:val="365F91"/>
          <w:sz w:val="24"/>
          <w:szCs w:val="24"/>
        </w:rPr>
        <w:t xml:space="preserve"> Cyber</w:t>
      </w:r>
      <w:r w:rsidR="002D4193" w:rsidRPr="006D38DE">
        <w:rPr>
          <w:rFonts w:ascii="Times New Roman" w:hAnsi="Times New Roman" w:cs="Times New Roman"/>
          <w:color w:val="365F91"/>
          <w:sz w:val="24"/>
          <w:szCs w:val="24"/>
        </w:rPr>
        <w:t xml:space="preserve"> Asset list as necessary.</w:t>
      </w:r>
    </w:p>
    <w:p w:rsidR="00E80E5B" w:rsidRPr="00E80E5B" w:rsidRDefault="00E80E5B" w:rsidP="00E80E5B">
      <w:pPr>
        <w:autoSpaceDE/>
        <w:autoSpaceDN/>
        <w:adjustRightInd/>
        <w:rPr>
          <w:rFonts w:ascii="Times New Roman" w:hAnsi="Times New Roman" w:cs="Times New Roman"/>
          <w:color w:val="365F91"/>
          <w:sz w:val="24"/>
          <w:szCs w:val="24"/>
        </w:rPr>
      </w:pPr>
    </w:p>
    <w:p w:rsidR="00CB02C5" w:rsidRPr="00CB02C5" w:rsidRDefault="00E80E5B" w:rsidP="00E80E5B">
      <w:pPr>
        <w:widowControl w:val="0"/>
        <w:ind w:left="720"/>
        <w:rPr>
          <w:rFonts w:ascii="Times New Roman" w:hAnsi="Times New Roman" w:cs="Times New Roman"/>
          <w:color w:val="365F91"/>
          <w:sz w:val="24"/>
          <w:szCs w:val="24"/>
        </w:rPr>
      </w:pPr>
      <w:r w:rsidRPr="009A78BE">
        <w:rPr>
          <w:rFonts w:ascii="Times New Roman" w:hAnsi="Times New Roman" w:cs="Times New Roman"/>
          <w:b/>
          <w:color w:val="365F91"/>
          <w:sz w:val="24"/>
          <w:szCs w:val="24"/>
        </w:rPr>
        <w:t>____</w:t>
      </w:r>
      <w:r>
        <w:rPr>
          <w:rFonts w:ascii="Times New Roman" w:hAnsi="Times New Roman" w:cs="Times New Roman"/>
          <w:color w:val="365F91"/>
          <w:sz w:val="24"/>
          <w:szCs w:val="24"/>
        </w:rPr>
        <w:tab/>
      </w:r>
      <w:r w:rsidR="002D4193">
        <w:rPr>
          <w:rFonts w:ascii="Times New Roman" w:hAnsi="Times New Roman" w:cs="Times New Roman"/>
          <w:color w:val="365F91"/>
          <w:sz w:val="24"/>
          <w:szCs w:val="24"/>
        </w:rPr>
        <w:t>Verify that each Critical Cyber Asset has at least one of the following characteristics</w:t>
      </w:r>
      <w:r w:rsidR="00CB02C5" w:rsidRPr="00CB02C5">
        <w:rPr>
          <w:rFonts w:ascii="Times New Roman" w:hAnsi="Times New Roman" w:cs="Times New Roman"/>
          <w:color w:val="365F91"/>
          <w:sz w:val="24"/>
          <w:szCs w:val="24"/>
        </w:rPr>
        <w:t>:</w:t>
      </w:r>
    </w:p>
    <w:p w:rsidR="00CB02C5" w:rsidRPr="00CB02C5" w:rsidRDefault="00E80E5B" w:rsidP="00E80E5B">
      <w:pPr>
        <w:widowControl w:val="0"/>
        <w:ind w:left="2160" w:hanging="720"/>
        <w:rPr>
          <w:rFonts w:ascii="Times New Roman" w:hAnsi="Times New Roman" w:cs="Times New Roman"/>
          <w:color w:val="365F91"/>
          <w:sz w:val="24"/>
          <w:szCs w:val="24"/>
        </w:rPr>
      </w:pPr>
      <w:r w:rsidRPr="009A78BE">
        <w:rPr>
          <w:rFonts w:ascii="Times New Roman" w:hAnsi="Times New Roman" w:cs="Times New Roman"/>
          <w:b/>
          <w:color w:val="365F91"/>
          <w:sz w:val="24"/>
          <w:szCs w:val="24"/>
        </w:rPr>
        <w:t>____</w:t>
      </w:r>
      <w:r>
        <w:rPr>
          <w:rFonts w:ascii="Times New Roman" w:hAnsi="Times New Roman" w:cs="Times New Roman"/>
          <w:color w:val="365F91"/>
          <w:sz w:val="24"/>
          <w:szCs w:val="24"/>
        </w:rPr>
        <w:tab/>
      </w:r>
      <w:r w:rsidR="00CB02C5" w:rsidRPr="00CB02C5">
        <w:rPr>
          <w:rFonts w:ascii="Times New Roman" w:hAnsi="Times New Roman" w:cs="Times New Roman"/>
          <w:color w:val="365F91"/>
          <w:sz w:val="24"/>
          <w:szCs w:val="24"/>
        </w:rPr>
        <w:t>The Cyber Asset uses a routable protocol to communicate outside the Electronic Security Perimeter; or,</w:t>
      </w:r>
    </w:p>
    <w:p w:rsidR="00CB02C5" w:rsidRPr="00CB02C5" w:rsidRDefault="00E80E5B" w:rsidP="00E80E5B">
      <w:pPr>
        <w:widowControl w:val="0"/>
        <w:ind w:left="1440"/>
        <w:rPr>
          <w:rFonts w:ascii="Times New Roman" w:hAnsi="Times New Roman" w:cs="Times New Roman"/>
          <w:color w:val="365F91"/>
          <w:sz w:val="24"/>
          <w:szCs w:val="24"/>
        </w:rPr>
      </w:pPr>
      <w:r w:rsidRPr="009A78BE">
        <w:rPr>
          <w:rFonts w:ascii="Times New Roman" w:hAnsi="Times New Roman" w:cs="Times New Roman"/>
          <w:b/>
          <w:color w:val="365F91"/>
          <w:sz w:val="24"/>
          <w:szCs w:val="24"/>
        </w:rPr>
        <w:t>____</w:t>
      </w:r>
      <w:r>
        <w:rPr>
          <w:rFonts w:ascii="Times New Roman" w:hAnsi="Times New Roman" w:cs="Times New Roman"/>
          <w:color w:val="365F91"/>
          <w:sz w:val="24"/>
          <w:szCs w:val="24"/>
        </w:rPr>
        <w:tab/>
      </w:r>
      <w:r w:rsidR="00CB02C5" w:rsidRPr="00CB02C5">
        <w:rPr>
          <w:rFonts w:ascii="Times New Roman" w:hAnsi="Times New Roman" w:cs="Times New Roman"/>
          <w:color w:val="365F91"/>
          <w:sz w:val="24"/>
          <w:szCs w:val="24"/>
        </w:rPr>
        <w:t>The Cyber Asset uses a routable protocol within a control center; or,</w:t>
      </w:r>
    </w:p>
    <w:p w:rsidR="00CB02C5" w:rsidRPr="00CB02C5" w:rsidRDefault="00E80E5B" w:rsidP="00E80E5B">
      <w:pPr>
        <w:widowControl w:val="0"/>
        <w:ind w:left="1440"/>
        <w:rPr>
          <w:rFonts w:ascii="Times New Roman" w:hAnsi="Times New Roman" w:cs="Times New Roman"/>
          <w:color w:val="365F91"/>
          <w:sz w:val="24"/>
          <w:szCs w:val="24"/>
        </w:rPr>
      </w:pPr>
      <w:r w:rsidRPr="009A78BE">
        <w:rPr>
          <w:rFonts w:ascii="Times New Roman" w:hAnsi="Times New Roman" w:cs="Times New Roman"/>
          <w:b/>
          <w:color w:val="365F91"/>
          <w:sz w:val="24"/>
          <w:szCs w:val="24"/>
        </w:rPr>
        <w:t>____</w:t>
      </w:r>
      <w:r>
        <w:rPr>
          <w:rFonts w:ascii="Times New Roman" w:hAnsi="Times New Roman" w:cs="Times New Roman"/>
          <w:color w:val="365F91"/>
          <w:sz w:val="24"/>
          <w:szCs w:val="24"/>
        </w:rPr>
        <w:tab/>
      </w:r>
      <w:r w:rsidR="00CB02C5" w:rsidRPr="00CB02C5">
        <w:rPr>
          <w:rFonts w:ascii="Times New Roman" w:hAnsi="Times New Roman" w:cs="Times New Roman"/>
          <w:color w:val="365F91"/>
          <w:sz w:val="24"/>
          <w:szCs w:val="24"/>
        </w:rPr>
        <w:t>The Cyber Asset is dial</w:t>
      </w:r>
      <w:r w:rsidR="00CB02C5" w:rsidRPr="00CB02C5">
        <w:rPr>
          <w:rFonts w:ascii="Times New Roman" w:hAnsi="Times New Roman" w:cs="Times New Roman"/>
          <w:color w:val="365F91"/>
          <w:sz w:val="24"/>
          <w:szCs w:val="24"/>
        </w:rPr>
        <w:noBreakHyphen/>
        <w:t>up accessible.</w:t>
      </w:r>
    </w:p>
    <w:p w:rsidR="00E80E5B" w:rsidRPr="00E80E5B" w:rsidRDefault="00E80E5B" w:rsidP="00E80E5B">
      <w:pPr>
        <w:autoSpaceDE/>
        <w:autoSpaceDN/>
        <w:adjustRightInd/>
        <w:rPr>
          <w:rFonts w:ascii="Times New Roman" w:hAnsi="Times New Roman" w:cs="Times New Roman"/>
          <w:color w:val="365F91"/>
          <w:sz w:val="24"/>
          <w:szCs w:val="24"/>
        </w:rPr>
      </w:pPr>
    </w:p>
    <w:p w:rsidR="00E80E5B" w:rsidRPr="00E80E5B" w:rsidRDefault="00E80E5B" w:rsidP="00E80E5B">
      <w:pPr>
        <w:autoSpaceDE/>
        <w:autoSpaceDN/>
        <w:adjustRightInd/>
        <w:rPr>
          <w:rFonts w:ascii="Times New Roman" w:hAnsi="Times New Roman" w:cs="Times New Roman"/>
          <w:color w:val="365F91"/>
          <w:sz w:val="24"/>
          <w:szCs w:val="24"/>
        </w:rPr>
      </w:pPr>
    </w:p>
    <w:p w:rsidR="00CB02C5" w:rsidRPr="008F7DA5" w:rsidRDefault="00CB02C5" w:rsidP="0078439E">
      <w:pPr>
        <w:widowControl w:val="0"/>
        <w:rPr>
          <w:rFonts w:ascii="Times New Roman" w:hAnsi="Times New Roman" w:cs="Times New Roman"/>
          <w:b/>
          <w:bCs/>
          <w:color w:val="264D74"/>
          <w:sz w:val="24"/>
          <w:szCs w:val="24"/>
        </w:rPr>
      </w:pPr>
      <w:r w:rsidRPr="008F7DA5">
        <w:rPr>
          <w:rFonts w:ascii="Times New Roman" w:hAnsi="Times New Roman" w:cs="Times New Roman"/>
          <w:b/>
          <w:bCs/>
          <w:color w:val="264D74"/>
          <w:sz w:val="24"/>
          <w:szCs w:val="24"/>
        </w:rPr>
        <w:t>Detailed notes:</w:t>
      </w:r>
    </w:p>
    <w:p w:rsidR="00CB02C5" w:rsidRPr="008F7DA5" w:rsidRDefault="00CB02C5" w:rsidP="0078439E">
      <w:pPr>
        <w:widowControl w:val="0"/>
        <w:shd w:val="clear" w:color="auto" w:fill="D3DCE9"/>
        <w:rPr>
          <w:rFonts w:ascii="Times New Roman" w:hAnsi="Times New Roman" w:cs="Times New Roman"/>
          <w:bCs/>
          <w:color w:val="264D74"/>
          <w:sz w:val="24"/>
          <w:szCs w:val="24"/>
        </w:rPr>
      </w:pPr>
    </w:p>
    <w:p w:rsidR="00CB02C5" w:rsidRPr="008F7DA5" w:rsidRDefault="00CB02C5" w:rsidP="0078439E">
      <w:pPr>
        <w:widowControl w:val="0"/>
        <w:shd w:val="clear" w:color="auto" w:fill="D3DCE9"/>
        <w:rPr>
          <w:rFonts w:ascii="Times New Roman" w:hAnsi="Times New Roman" w:cs="Times New Roman"/>
          <w:bCs/>
          <w:color w:val="264D74"/>
          <w:sz w:val="24"/>
          <w:szCs w:val="24"/>
        </w:rPr>
      </w:pPr>
    </w:p>
    <w:p w:rsidR="00CB02C5" w:rsidRPr="008F7DA5" w:rsidRDefault="00CB02C5" w:rsidP="0078439E">
      <w:pPr>
        <w:widowControl w:val="0"/>
        <w:rPr>
          <w:rFonts w:ascii="Times New Roman" w:hAnsi="Times New Roman" w:cs="Times New Roman"/>
          <w:b/>
          <w:bCs/>
          <w:color w:val="264D74"/>
          <w:sz w:val="24"/>
          <w:szCs w:val="24"/>
        </w:rPr>
      </w:pPr>
    </w:p>
    <w:p w:rsidR="00CB02C5" w:rsidRPr="008F7DA5" w:rsidRDefault="00CB02C5" w:rsidP="0078439E">
      <w:pPr>
        <w:widowControl w:val="0"/>
        <w:rPr>
          <w:rFonts w:ascii="Times New Roman" w:hAnsi="Times New Roman" w:cs="Times New Roman"/>
          <w:b/>
          <w:bCs/>
          <w:color w:val="264D74"/>
          <w:sz w:val="24"/>
          <w:szCs w:val="24"/>
        </w:rPr>
      </w:pPr>
      <w:r w:rsidRPr="008F7DA5">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CB02C5" w:rsidRPr="008F7DA5" w:rsidTr="00CB02C5">
        <w:tc>
          <w:tcPr>
            <w:tcW w:w="7848" w:type="dxa"/>
            <w:tcBorders>
              <w:top w:val="single" w:sz="8" w:space="0" w:color="4F81BD"/>
              <w:left w:val="nil"/>
              <w:bottom w:val="single" w:sz="8" w:space="0" w:color="4F81BD"/>
              <w:right w:val="nil"/>
            </w:tcBorders>
          </w:tcPr>
          <w:p w:rsidR="00CB02C5" w:rsidRPr="008F7DA5" w:rsidRDefault="00CB02C5" w:rsidP="0078439E">
            <w:pPr>
              <w:widowControl w:val="0"/>
              <w:rPr>
                <w:rFonts w:ascii="Times New Roman" w:hAnsi="Times New Roman" w:cs="Times New Roman"/>
                <w:b/>
                <w:bCs/>
                <w:color w:val="264D74"/>
                <w:sz w:val="24"/>
                <w:szCs w:val="24"/>
              </w:rPr>
            </w:pPr>
            <w:r w:rsidRPr="008F7DA5">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CB02C5" w:rsidRPr="008F7DA5" w:rsidRDefault="00CB02C5" w:rsidP="0078439E">
            <w:pPr>
              <w:widowControl w:val="0"/>
              <w:jc w:val="center"/>
              <w:rPr>
                <w:rFonts w:ascii="Times New Roman" w:hAnsi="Times New Roman" w:cs="Times New Roman"/>
                <w:b/>
                <w:bCs/>
                <w:color w:val="264D74"/>
                <w:sz w:val="24"/>
                <w:szCs w:val="24"/>
              </w:rPr>
            </w:pPr>
            <w:r w:rsidRPr="008F7DA5">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CB02C5" w:rsidRPr="008F7DA5" w:rsidRDefault="00CB02C5" w:rsidP="0078439E">
            <w:pPr>
              <w:widowControl w:val="0"/>
              <w:jc w:val="center"/>
              <w:rPr>
                <w:rFonts w:ascii="Times New Roman" w:hAnsi="Times New Roman" w:cs="Times New Roman"/>
                <w:b/>
                <w:bCs/>
                <w:color w:val="264D74"/>
                <w:sz w:val="24"/>
                <w:szCs w:val="24"/>
              </w:rPr>
            </w:pPr>
            <w:r w:rsidRPr="008F7DA5">
              <w:rPr>
                <w:rFonts w:ascii="Times New Roman" w:hAnsi="Times New Roman" w:cs="Times New Roman"/>
                <w:b/>
                <w:bCs/>
                <w:color w:val="264D74"/>
                <w:sz w:val="24"/>
                <w:szCs w:val="24"/>
              </w:rPr>
              <w:t>Version</w:t>
            </w:r>
          </w:p>
        </w:tc>
      </w:tr>
      <w:tr w:rsidR="00CB02C5" w:rsidRPr="008F7DA5" w:rsidTr="00CB02C5">
        <w:tc>
          <w:tcPr>
            <w:tcW w:w="7848" w:type="dxa"/>
            <w:tcBorders>
              <w:top w:val="nil"/>
              <w:left w:val="nil"/>
              <w:bottom w:val="nil"/>
              <w:right w:val="nil"/>
            </w:tcBorders>
            <w:shd w:val="clear" w:color="auto" w:fill="D3DFEE"/>
          </w:tcPr>
          <w:p w:rsidR="00CB02C5" w:rsidRPr="008F7DA5" w:rsidRDefault="00CB02C5" w:rsidP="0078439E">
            <w:pPr>
              <w:widowControl w:val="0"/>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CB02C5" w:rsidRPr="008F7DA5" w:rsidRDefault="00CB02C5" w:rsidP="0078439E">
            <w:pPr>
              <w:widowControl w:val="0"/>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CB02C5" w:rsidRPr="008F7DA5" w:rsidRDefault="00CB02C5" w:rsidP="0078439E">
            <w:pPr>
              <w:widowControl w:val="0"/>
              <w:rPr>
                <w:rFonts w:ascii="Times New Roman" w:hAnsi="Times New Roman" w:cs="Times New Roman"/>
                <w:b/>
                <w:bCs/>
                <w:color w:val="264D74"/>
                <w:sz w:val="24"/>
                <w:szCs w:val="24"/>
              </w:rPr>
            </w:pPr>
          </w:p>
        </w:tc>
      </w:tr>
      <w:tr w:rsidR="00CB02C5" w:rsidRPr="008F7DA5" w:rsidTr="00CB02C5">
        <w:tc>
          <w:tcPr>
            <w:tcW w:w="7848" w:type="dxa"/>
            <w:tcBorders>
              <w:top w:val="nil"/>
              <w:left w:val="nil"/>
              <w:bottom w:val="nil"/>
              <w:right w:val="nil"/>
            </w:tcBorders>
          </w:tcPr>
          <w:p w:rsidR="00CB02C5" w:rsidRPr="008F7DA5" w:rsidRDefault="00CB02C5" w:rsidP="0078439E">
            <w:pPr>
              <w:widowControl w:val="0"/>
              <w:rPr>
                <w:rFonts w:ascii="Times New Roman" w:hAnsi="Times New Roman" w:cs="Times New Roman"/>
                <w:b/>
                <w:bCs/>
                <w:color w:val="264D74"/>
                <w:sz w:val="24"/>
                <w:szCs w:val="24"/>
              </w:rPr>
            </w:pPr>
          </w:p>
        </w:tc>
        <w:tc>
          <w:tcPr>
            <w:tcW w:w="1620" w:type="dxa"/>
            <w:tcBorders>
              <w:top w:val="nil"/>
              <w:left w:val="nil"/>
              <w:bottom w:val="nil"/>
              <w:right w:val="nil"/>
            </w:tcBorders>
          </w:tcPr>
          <w:p w:rsidR="00CB02C5" w:rsidRPr="008F7DA5" w:rsidRDefault="00CB02C5" w:rsidP="0078439E">
            <w:pPr>
              <w:widowControl w:val="0"/>
              <w:rPr>
                <w:rFonts w:ascii="Times New Roman" w:hAnsi="Times New Roman" w:cs="Times New Roman"/>
                <w:b/>
                <w:bCs/>
                <w:color w:val="264D74"/>
                <w:sz w:val="24"/>
                <w:szCs w:val="24"/>
              </w:rPr>
            </w:pPr>
          </w:p>
        </w:tc>
        <w:tc>
          <w:tcPr>
            <w:tcW w:w="1548" w:type="dxa"/>
            <w:tcBorders>
              <w:top w:val="nil"/>
              <w:left w:val="nil"/>
              <w:bottom w:val="nil"/>
              <w:right w:val="nil"/>
            </w:tcBorders>
          </w:tcPr>
          <w:p w:rsidR="00CB02C5" w:rsidRPr="008F7DA5" w:rsidRDefault="00CB02C5" w:rsidP="0078439E">
            <w:pPr>
              <w:widowControl w:val="0"/>
              <w:rPr>
                <w:rFonts w:ascii="Times New Roman" w:hAnsi="Times New Roman" w:cs="Times New Roman"/>
                <w:b/>
                <w:bCs/>
                <w:color w:val="264D74"/>
                <w:sz w:val="24"/>
                <w:szCs w:val="24"/>
              </w:rPr>
            </w:pPr>
          </w:p>
        </w:tc>
      </w:tr>
      <w:tr w:rsidR="00CB02C5" w:rsidRPr="008F7DA5" w:rsidTr="00CB02C5">
        <w:tc>
          <w:tcPr>
            <w:tcW w:w="7848" w:type="dxa"/>
            <w:tcBorders>
              <w:top w:val="nil"/>
              <w:left w:val="nil"/>
              <w:bottom w:val="single" w:sz="8" w:space="0" w:color="4F81BD"/>
              <w:right w:val="nil"/>
            </w:tcBorders>
            <w:shd w:val="clear" w:color="auto" w:fill="D3DFEE"/>
          </w:tcPr>
          <w:p w:rsidR="00CB02C5" w:rsidRPr="008F7DA5" w:rsidRDefault="00CB02C5" w:rsidP="0078439E">
            <w:pPr>
              <w:widowControl w:val="0"/>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CB02C5" w:rsidRPr="008F7DA5" w:rsidRDefault="00CB02C5" w:rsidP="0078439E">
            <w:pPr>
              <w:widowControl w:val="0"/>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CB02C5" w:rsidRPr="008F7DA5" w:rsidRDefault="00CB02C5" w:rsidP="0078439E">
            <w:pPr>
              <w:widowControl w:val="0"/>
              <w:rPr>
                <w:rFonts w:ascii="Times New Roman" w:hAnsi="Times New Roman" w:cs="Times New Roman"/>
                <w:b/>
                <w:bCs/>
                <w:color w:val="264D74"/>
                <w:sz w:val="24"/>
                <w:szCs w:val="24"/>
              </w:rPr>
            </w:pPr>
          </w:p>
        </w:tc>
      </w:tr>
    </w:tbl>
    <w:p w:rsidR="00CB02C5" w:rsidRPr="00F84CA0" w:rsidRDefault="00CB02C5" w:rsidP="0078439E">
      <w:pPr>
        <w:widowControl w:val="0"/>
        <w:rPr>
          <w:rFonts w:ascii="Times New Roman" w:hAnsi="Times New Roman" w:cs="Times New Roman"/>
          <w:b/>
          <w:sz w:val="24"/>
          <w:szCs w:val="24"/>
        </w:rPr>
      </w:pPr>
      <w:bookmarkStart w:id="1" w:name="FERC"/>
      <w:bookmarkEnd w:id="1"/>
    </w:p>
    <w:p w:rsidR="0000359B" w:rsidRDefault="00DE3ADD" w:rsidP="00E80E5B">
      <w:pPr>
        <w:ind w:left="1350" w:hanging="630"/>
        <w:rPr>
          <w:rFonts w:ascii="Times New Roman" w:hAnsi="Times New Roman" w:cs="Times New Roman"/>
          <w:sz w:val="24"/>
          <w:szCs w:val="24"/>
        </w:rPr>
      </w:pPr>
      <w:r w:rsidRPr="008F7DA5">
        <w:rPr>
          <w:rFonts w:ascii="Times New Roman" w:hAnsi="Times New Roman" w:cs="Times New Roman"/>
          <w:b/>
          <w:bCs/>
          <w:sz w:val="24"/>
          <w:szCs w:val="24"/>
        </w:rPr>
        <w:t>R4.</w:t>
      </w:r>
      <w:r w:rsidR="00E80E5B">
        <w:rPr>
          <w:rFonts w:ascii="Times New Roman" w:hAnsi="Times New Roman" w:cs="Times New Roman"/>
          <w:b/>
          <w:bCs/>
          <w:sz w:val="24"/>
          <w:szCs w:val="24"/>
        </w:rPr>
        <w:tab/>
      </w:r>
      <w:r w:rsidR="00073091" w:rsidRPr="00073091">
        <w:rPr>
          <w:rFonts w:ascii="Times New Roman" w:hAnsi="Times New Roman" w:cs="Times New Roman"/>
          <w:sz w:val="24"/>
          <w:szCs w:val="24"/>
        </w:rPr>
        <w:t>Annual Approval — The senior manager or delegate(s) shall approve annually the risk-based</w:t>
      </w:r>
      <w:r w:rsidR="00AD3AC5">
        <w:rPr>
          <w:rFonts w:ascii="Times New Roman" w:hAnsi="Times New Roman" w:cs="Times New Roman"/>
          <w:sz w:val="24"/>
          <w:szCs w:val="24"/>
        </w:rPr>
        <w:t xml:space="preserve"> </w:t>
      </w:r>
      <w:r w:rsidR="00073091" w:rsidRPr="00073091">
        <w:rPr>
          <w:rFonts w:ascii="Times New Roman" w:hAnsi="Times New Roman" w:cs="Times New Roman"/>
          <w:sz w:val="24"/>
          <w:szCs w:val="24"/>
        </w:rPr>
        <w:t>assessment methodology, the list of Critical Assets and the list of Critical Cyber Assets. Based</w:t>
      </w:r>
      <w:r w:rsidR="00073091">
        <w:rPr>
          <w:rFonts w:ascii="Times New Roman" w:hAnsi="Times New Roman" w:cs="Times New Roman"/>
          <w:sz w:val="24"/>
          <w:szCs w:val="24"/>
        </w:rPr>
        <w:t xml:space="preserve"> </w:t>
      </w:r>
      <w:r w:rsidR="00073091" w:rsidRPr="00073091">
        <w:rPr>
          <w:rFonts w:ascii="Times New Roman" w:hAnsi="Times New Roman" w:cs="Times New Roman"/>
          <w:sz w:val="24"/>
          <w:szCs w:val="24"/>
        </w:rPr>
        <w:t>on Requirements R1, R2, and R3 the Responsible Entity may determine that it has no Critical</w:t>
      </w:r>
      <w:r w:rsidR="00073091">
        <w:rPr>
          <w:rFonts w:ascii="Times New Roman" w:hAnsi="Times New Roman" w:cs="Times New Roman"/>
          <w:sz w:val="24"/>
          <w:szCs w:val="24"/>
        </w:rPr>
        <w:t xml:space="preserve"> </w:t>
      </w:r>
      <w:r w:rsidR="00073091" w:rsidRPr="00073091">
        <w:rPr>
          <w:rFonts w:ascii="Times New Roman" w:hAnsi="Times New Roman" w:cs="Times New Roman"/>
          <w:sz w:val="24"/>
          <w:szCs w:val="24"/>
        </w:rPr>
        <w:t>Assets or Critical Cyber Assets. The Responsible Entity shall keep a signed and dated record of</w:t>
      </w:r>
      <w:r w:rsidR="00073091">
        <w:rPr>
          <w:rFonts w:ascii="Times New Roman" w:hAnsi="Times New Roman" w:cs="Times New Roman"/>
          <w:sz w:val="24"/>
          <w:szCs w:val="24"/>
        </w:rPr>
        <w:t xml:space="preserve"> </w:t>
      </w:r>
      <w:r w:rsidR="00073091" w:rsidRPr="00073091">
        <w:rPr>
          <w:rFonts w:ascii="Times New Roman" w:hAnsi="Times New Roman" w:cs="Times New Roman"/>
          <w:sz w:val="24"/>
          <w:szCs w:val="24"/>
        </w:rPr>
        <w:t>the senior manager or delegate(s)’s approval of the risk-based assessment methodology, the list</w:t>
      </w:r>
      <w:r w:rsidR="00073091">
        <w:rPr>
          <w:rFonts w:ascii="Times New Roman" w:hAnsi="Times New Roman" w:cs="Times New Roman"/>
          <w:sz w:val="24"/>
          <w:szCs w:val="24"/>
        </w:rPr>
        <w:t xml:space="preserve"> </w:t>
      </w:r>
      <w:r w:rsidR="00073091" w:rsidRPr="00073091">
        <w:rPr>
          <w:rFonts w:ascii="Times New Roman" w:hAnsi="Times New Roman" w:cs="Times New Roman"/>
          <w:sz w:val="24"/>
          <w:szCs w:val="24"/>
        </w:rPr>
        <w:t>of Critical Assets and the list of Critical Cyber Assets (even if such lists are null.)</w:t>
      </w:r>
    </w:p>
    <w:p w:rsidR="00073091" w:rsidRPr="00073091" w:rsidRDefault="00073091" w:rsidP="0078439E">
      <w:pPr>
        <w:ind w:left="720"/>
        <w:rPr>
          <w:rFonts w:ascii="Times New Roman" w:hAnsi="Times New Roman" w:cs="Times New Roman"/>
          <w:b/>
          <w:bCs/>
          <w:color w:val="003366"/>
          <w:sz w:val="24"/>
          <w:szCs w:val="24"/>
        </w:rPr>
      </w:pPr>
    </w:p>
    <w:p w:rsidR="00F226F6" w:rsidRDefault="00F226F6" w:rsidP="0078439E">
      <w:pPr>
        <w:widowControl w:val="0"/>
        <w:ind w:left="720"/>
        <w:rPr>
          <w:rFonts w:ascii="Times New Roman" w:hAnsi="Times New Roman" w:cs="Times New Roman"/>
          <w:b/>
          <w:bCs/>
          <w:i/>
          <w:iCs/>
          <w:color w:val="000000"/>
          <w:sz w:val="24"/>
          <w:szCs w:val="24"/>
        </w:rPr>
      </w:pPr>
      <w:r>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F226F6" w:rsidRDefault="00F226F6" w:rsidP="0078439E">
      <w:pPr>
        <w:widowControl w:val="0"/>
        <w:ind w:left="720"/>
        <w:rPr>
          <w:rFonts w:ascii="Times New Roman" w:hAnsi="Times New Roman" w:cs="Times New Roman"/>
          <w:sz w:val="24"/>
          <w:szCs w:val="24"/>
        </w:rPr>
      </w:pPr>
    </w:p>
    <w:p w:rsidR="00F226F6" w:rsidRDefault="00F226F6" w:rsidP="0078439E">
      <w:pPr>
        <w:widowControl w:val="0"/>
        <w:shd w:val="clear" w:color="auto" w:fill="D3DCE9"/>
        <w:ind w:left="720"/>
        <w:rPr>
          <w:rFonts w:ascii="Times New Roman" w:hAnsi="Times New Roman" w:cs="Times New Roman"/>
          <w:bCs/>
          <w:color w:val="264D74"/>
          <w:sz w:val="24"/>
          <w:szCs w:val="24"/>
        </w:rPr>
      </w:pPr>
    </w:p>
    <w:p w:rsidR="00F226F6" w:rsidRDefault="00F226F6" w:rsidP="0078439E">
      <w:pPr>
        <w:widowControl w:val="0"/>
        <w:shd w:val="clear" w:color="auto" w:fill="D3DCE9"/>
        <w:ind w:left="720"/>
        <w:rPr>
          <w:rFonts w:ascii="Times New Roman" w:hAnsi="Times New Roman" w:cs="Times New Roman"/>
          <w:bCs/>
          <w:color w:val="264D74"/>
          <w:sz w:val="24"/>
          <w:szCs w:val="24"/>
        </w:rPr>
      </w:pPr>
    </w:p>
    <w:p w:rsidR="00DE3ADD" w:rsidRDefault="00DE3ADD" w:rsidP="0078439E">
      <w:pPr>
        <w:autoSpaceDE/>
        <w:autoSpaceDN/>
        <w:adjustRightInd/>
        <w:rPr>
          <w:rFonts w:ascii="Times New Roman" w:hAnsi="Times New Roman" w:cs="Times New Roman"/>
          <w:sz w:val="24"/>
          <w:szCs w:val="24"/>
        </w:rPr>
      </w:pPr>
    </w:p>
    <w:p w:rsidR="00C1702D" w:rsidRDefault="00C1702D" w:rsidP="0078439E">
      <w:pPr>
        <w:pStyle w:val="NormalWeb"/>
        <w:spacing w:before="0" w:beforeAutospacing="0" w:after="0" w:afterAutospacing="0"/>
        <w:ind w:left="360"/>
        <w:rPr>
          <w:lang w:val="en"/>
        </w:rPr>
      </w:pPr>
      <w:r>
        <w:rPr>
          <w:b/>
          <w:lang w:val="en"/>
        </w:rPr>
        <w:t xml:space="preserve">Questions: </w:t>
      </w:r>
      <w:r w:rsidRPr="001A0466">
        <w:rPr>
          <w:lang w:val="en"/>
        </w:rPr>
        <w:t>How is the Senior Manager referred to in R4 designated?</w:t>
      </w:r>
    </w:p>
    <w:p w:rsidR="00C1702D" w:rsidRDefault="00C1702D" w:rsidP="0078439E">
      <w:pPr>
        <w:pStyle w:val="NormalWeb"/>
        <w:spacing w:before="0" w:beforeAutospacing="0" w:after="0" w:afterAutospacing="0"/>
        <w:ind w:left="360"/>
        <w:rPr>
          <w:lang w:val="en"/>
        </w:rPr>
      </w:pPr>
      <w:r w:rsidRPr="001A0466">
        <w:rPr>
          <w:lang w:val="en"/>
        </w:rPr>
        <w:t>If the Senior Manager has delegated authority to approve the list of Critical Assets and</w:t>
      </w:r>
      <w:r>
        <w:rPr>
          <w:lang w:val="en"/>
        </w:rPr>
        <w:t>/or</w:t>
      </w:r>
      <w:r w:rsidRPr="001A0466">
        <w:rPr>
          <w:lang w:val="en"/>
        </w:rPr>
        <w:t xml:space="preserve"> the list of Critical Cyber Assets, how is that delegation documented?</w:t>
      </w:r>
    </w:p>
    <w:p w:rsidR="00C1702D" w:rsidRDefault="00C1702D" w:rsidP="0078439E">
      <w:pPr>
        <w:pStyle w:val="NormalWeb"/>
        <w:spacing w:before="0" w:beforeAutospacing="0" w:after="0" w:afterAutospacing="0"/>
        <w:ind w:left="360"/>
        <w:rPr>
          <w:lang w:val="en"/>
        </w:rPr>
      </w:pPr>
      <w:r w:rsidRPr="001A0466">
        <w:rPr>
          <w:lang w:val="en"/>
        </w:rPr>
        <w:t>Is a signed and dated list of Critical Assets and a signed and dated list of Critical Cyber Assets available for the entire audit period?</w:t>
      </w:r>
    </w:p>
    <w:p w:rsidR="00C1702D" w:rsidRPr="003853AC" w:rsidRDefault="00C1702D" w:rsidP="0078439E">
      <w:pPr>
        <w:widowControl w:val="0"/>
        <w:ind w:left="360"/>
        <w:rPr>
          <w:rFonts w:ascii="Times New Roman" w:hAnsi="Times New Roman" w:cs="Times New Roman"/>
          <w:b/>
          <w:bCs/>
          <w:i/>
          <w:iCs/>
          <w:sz w:val="24"/>
          <w:szCs w:val="24"/>
        </w:rPr>
      </w:pPr>
      <w:r w:rsidRPr="003853AC">
        <w:rPr>
          <w:rFonts w:ascii="Times New Roman" w:hAnsi="Times New Roman" w:cs="Times New Roman"/>
          <w:b/>
          <w:bCs/>
          <w:sz w:val="24"/>
          <w:szCs w:val="24"/>
        </w:rPr>
        <w:t>Entity</w:t>
      </w:r>
      <w:r w:rsidRPr="003853AC">
        <w:rPr>
          <w:rFonts w:ascii="Times New Roman" w:hAnsi="Times New Roman" w:cs="Times New Roman"/>
          <w:sz w:val="24"/>
          <w:szCs w:val="24"/>
        </w:rPr>
        <w:t xml:space="preserve"> </w:t>
      </w:r>
      <w:r w:rsidRPr="003853AC">
        <w:rPr>
          <w:rFonts w:ascii="Times New Roman" w:hAnsi="Times New Roman" w:cs="Times New Roman"/>
          <w:b/>
          <w:bCs/>
          <w:sz w:val="24"/>
          <w:szCs w:val="24"/>
        </w:rPr>
        <w:t xml:space="preserve">Response: </w:t>
      </w:r>
      <w:r w:rsidRPr="00C1702D">
        <w:rPr>
          <w:rFonts w:ascii="Times New Roman" w:hAnsi="Times New Roman" w:cs="Times New Roman"/>
          <w:b/>
          <w:bCs/>
          <w:i/>
          <w:iCs/>
          <w:sz w:val="24"/>
          <w:szCs w:val="24"/>
        </w:rPr>
        <w:t>(Registered Entity Response Required)</w:t>
      </w:r>
    </w:p>
    <w:p w:rsidR="00C1702D" w:rsidRPr="006A6C22" w:rsidRDefault="00C1702D" w:rsidP="0078439E">
      <w:pPr>
        <w:widowControl w:val="0"/>
        <w:ind w:left="720"/>
        <w:rPr>
          <w:rFonts w:ascii="Times New Roman" w:hAnsi="Times New Roman" w:cs="Times New Roman"/>
          <w:sz w:val="24"/>
          <w:szCs w:val="24"/>
        </w:rPr>
      </w:pPr>
    </w:p>
    <w:p w:rsidR="00C1702D" w:rsidRPr="006A6C22" w:rsidRDefault="00C1702D" w:rsidP="0078439E">
      <w:pPr>
        <w:widowControl w:val="0"/>
        <w:shd w:val="clear" w:color="auto" w:fill="D3DCE9"/>
        <w:ind w:left="720"/>
        <w:rPr>
          <w:rFonts w:ascii="Times New Roman" w:hAnsi="Times New Roman" w:cs="Times New Roman"/>
          <w:bCs/>
          <w:color w:val="264D74"/>
          <w:sz w:val="24"/>
          <w:szCs w:val="24"/>
        </w:rPr>
      </w:pPr>
    </w:p>
    <w:p w:rsidR="00C1702D" w:rsidRPr="006A6C22" w:rsidRDefault="00C1702D" w:rsidP="0078439E">
      <w:pPr>
        <w:widowControl w:val="0"/>
        <w:shd w:val="clear" w:color="auto" w:fill="D3DCE9"/>
        <w:ind w:left="720"/>
        <w:rPr>
          <w:rFonts w:ascii="Times New Roman" w:hAnsi="Times New Roman" w:cs="Times New Roman"/>
          <w:bCs/>
          <w:color w:val="264D74"/>
          <w:sz w:val="24"/>
          <w:szCs w:val="24"/>
        </w:rPr>
      </w:pPr>
    </w:p>
    <w:p w:rsidR="00C1702D" w:rsidRPr="008F7DA5" w:rsidRDefault="00C1702D" w:rsidP="0078439E">
      <w:pPr>
        <w:autoSpaceDE/>
        <w:autoSpaceDN/>
        <w:adjustRightInd/>
        <w:rPr>
          <w:rFonts w:ascii="Times New Roman" w:hAnsi="Times New Roman" w:cs="Times New Roman"/>
          <w:sz w:val="24"/>
          <w:szCs w:val="24"/>
        </w:rPr>
      </w:pPr>
    </w:p>
    <w:p w:rsidR="00E45931" w:rsidRPr="008F7DA5" w:rsidRDefault="00E45931" w:rsidP="0078439E">
      <w:pPr>
        <w:widowControl w:val="0"/>
        <w:rPr>
          <w:rFonts w:ascii="Times New Roman" w:hAnsi="Times New Roman" w:cs="Times New Roman"/>
          <w:b/>
          <w:bCs/>
          <w:color w:val="C00000"/>
          <w:sz w:val="24"/>
          <w:szCs w:val="24"/>
        </w:rPr>
      </w:pPr>
      <w:r w:rsidRPr="008F7DA5">
        <w:rPr>
          <w:rFonts w:ascii="Times New Roman" w:hAnsi="Times New Roman" w:cs="Times New Roman"/>
          <w:b/>
          <w:i/>
          <w:iCs/>
          <w:color w:val="C00000"/>
          <w:sz w:val="24"/>
          <w:szCs w:val="24"/>
        </w:rPr>
        <w:t>This section must be completed by the Compliance Enforcement Authority.</w:t>
      </w:r>
    </w:p>
    <w:p w:rsidR="00C1702D" w:rsidRPr="00DB1AF5" w:rsidRDefault="00C1702D" w:rsidP="0078439E">
      <w:pPr>
        <w:widowControl w:val="0"/>
        <w:rPr>
          <w:rFonts w:ascii="Times New Roman" w:hAnsi="Times New Roman" w:cs="Times New Roman"/>
          <w:b/>
          <w:bCs/>
          <w:color w:val="264D74"/>
          <w:sz w:val="24"/>
          <w:szCs w:val="24"/>
        </w:rPr>
      </w:pPr>
      <w:r w:rsidRPr="00DB1AF5">
        <w:rPr>
          <w:rFonts w:ascii="Times New Roman" w:hAnsi="Times New Roman" w:cs="Times New Roman"/>
          <w:b/>
          <w:bCs/>
          <w:color w:val="264D74"/>
          <w:sz w:val="24"/>
          <w:szCs w:val="24"/>
        </w:rPr>
        <w:t>Compliance Assessment Approach Specific to CIP-</w:t>
      </w:r>
      <w:r w:rsidR="00A535FB">
        <w:rPr>
          <w:rFonts w:ascii="Times New Roman" w:hAnsi="Times New Roman" w:cs="Times New Roman"/>
          <w:b/>
          <w:bCs/>
          <w:color w:val="264D74"/>
          <w:sz w:val="24"/>
          <w:szCs w:val="24"/>
        </w:rPr>
        <w:t>002-3</w:t>
      </w:r>
      <w:r w:rsidRPr="00DB1AF5">
        <w:rPr>
          <w:rFonts w:ascii="Times New Roman" w:hAnsi="Times New Roman" w:cs="Times New Roman"/>
          <w:b/>
          <w:bCs/>
          <w:color w:val="264D74"/>
          <w:sz w:val="24"/>
          <w:szCs w:val="24"/>
        </w:rPr>
        <w:t xml:space="preserve"> R4.</w:t>
      </w:r>
    </w:p>
    <w:p w:rsidR="00C1702D" w:rsidRPr="00DB1AF5" w:rsidRDefault="00C1702D" w:rsidP="0078439E">
      <w:pPr>
        <w:widowControl w:val="0"/>
        <w:ind w:left="2070" w:hanging="2070"/>
        <w:rPr>
          <w:rFonts w:ascii="Times New Roman" w:hAnsi="Times New Roman" w:cs="Times New Roman"/>
          <w:b/>
          <w:bCs/>
          <w:color w:val="264D74"/>
          <w:sz w:val="24"/>
          <w:szCs w:val="24"/>
        </w:rPr>
      </w:pPr>
    </w:p>
    <w:p w:rsidR="00C1702D" w:rsidRPr="00DB1AF5" w:rsidRDefault="00E80E5B" w:rsidP="00E80E5B">
      <w:pPr>
        <w:widowControl w:val="0"/>
        <w:ind w:left="1620" w:hanging="720"/>
        <w:rPr>
          <w:rFonts w:ascii="Times New Roman" w:hAnsi="Times New Roman" w:cs="Times New Roman"/>
          <w:color w:val="365F91"/>
          <w:sz w:val="24"/>
          <w:szCs w:val="24"/>
        </w:rPr>
      </w:pPr>
      <w:r w:rsidRPr="009A78BE">
        <w:rPr>
          <w:rFonts w:ascii="Times New Roman" w:hAnsi="Times New Roman" w:cs="Times New Roman"/>
          <w:b/>
          <w:color w:val="365F91"/>
          <w:sz w:val="24"/>
          <w:szCs w:val="24"/>
        </w:rPr>
        <w:t>____</w:t>
      </w:r>
      <w:r>
        <w:rPr>
          <w:rFonts w:ascii="Times New Roman" w:hAnsi="Times New Roman" w:cs="Times New Roman"/>
          <w:color w:val="365F91"/>
          <w:sz w:val="24"/>
          <w:szCs w:val="24"/>
        </w:rPr>
        <w:tab/>
      </w:r>
      <w:r w:rsidR="00C1702D" w:rsidRPr="00DB1AF5">
        <w:rPr>
          <w:rFonts w:ascii="Times New Roman" w:hAnsi="Times New Roman" w:cs="Times New Roman"/>
          <w:color w:val="365F91"/>
          <w:sz w:val="24"/>
          <w:szCs w:val="24"/>
        </w:rPr>
        <w:t xml:space="preserve">Verify that the </w:t>
      </w:r>
      <w:r w:rsidR="00DB1AF5" w:rsidRPr="00DB1AF5">
        <w:rPr>
          <w:rFonts w:ascii="Times New Roman" w:hAnsi="Times New Roman" w:cs="Times New Roman"/>
          <w:color w:val="365F91"/>
          <w:sz w:val="24"/>
          <w:szCs w:val="24"/>
        </w:rPr>
        <w:t xml:space="preserve">senior manager or his delegate has approved the </w:t>
      </w:r>
      <w:r w:rsidR="00C1702D" w:rsidRPr="00DB1AF5">
        <w:rPr>
          <w:rFonts w:ascii="Times New Roman" w:hAnsi="Times New Roman" w:cs="Times New Roman"/>
          <w:color w:val="365F91"/>
          <w:sz w:val="24"/>
          <w:szCs w:val="24"/>
        </w:rPr>
        <w:t>list</w:t>
      </w:r>
      <w:r w:rsidR="00DB1AF5" w:rsidRPr="00DB1AF5">
        <w:rPr>
          <w:rFonts w:ascii="Times New Roman" w:hAnsi="Times New Roman" w:cs="Times New Roman"/>
          <w:color w:val="365F91"/>
          <w:sz w:val="24"/>
          <w:szCs w:val="24"/>
        </w:rPr>
        <w:t>s</w:t>
      </w:r>
      <w:r w:rsidR="00C1702D" w:rsidRPr="00DB1AF5">
        <w:rPr>
          <w:rFonts w:ascii="Times New Roman" w:hAnsi="Times New Roman" w:cs="Times New Roman"/>
          <w:color w:val="365F91"/>
          <w:sz w:val="24"/>
          <w:szCs w:val="24"/>
        </w:rPr>
        <w:t xml:space="preserve"> of Critical Assets and Critical Cyber Assets</w:t>
      </w:r>
      <w:r w:rsidR="00DB1AF5" w:rsidRPr="00DB1AF5">
        <w:rPr>
          <w:rFonts w:ascii="Times New Roman" w:hAnsi="Times New Roman" w:cs="Times New Roman"/>
          <w:color w:val="365F91"/>
          <w:sz w:val="24"/>
          <w:szCs w:val="24"/>
        </w:rPr>
        <w:t xml:space="preserve"> on an annual basis</w:t>
      </w:r>
      <w:r w:rsidR="00C1702D" w:rsidRPr="00DB1AF5">
        <w:rPr>
          <w:rFonts w:ascii="Times New Roman" w:hAnsi="Times New Roman" w:cs="Times New Roman"/>
          <w:color w:val="365F91"/>
          <w:sz w:val="24"/>
          <w:szCs w:val="24"/>
        </w:rPr>
        <w:t>.</w:t>
      </w:r>
    </w:p>
    <w:p w:rsidR="00950A1E" w:rsidRPr="00073091" w:rsidRDefault="00E80E5B" w:rsidP="00E80E5B">
      <w:pPr>
        <w:widowControl w:val="0"/>
        <w:ind w:left="2160" w:hanging="720"/>
        <w:rPr>
          <w:rFonts w:ascii="Times New Roman" w:hAnsi="Times New Roman" w:cs="Times New Roman"/>
          <w:color w:val="365F91"/>
          <w:sz w:val="24"/>
          <w:szCs w:val="24"/>
          <w:highlight w:val="yellow"/>
        </w:rPr>
      </w:pPr>
      <w:r w:rsidRPr="009A78BE">
        <w:rPr>
          <w:rFonts w:ascii="Times New Roman" w:hAnsi="Times New Roman" w:cs="Times New Roman"/>
          <w:b/>
          <w:color w:val="365F91"/>
          <w:sz w:val="24"/>
          <w:szCs w:val="24"/>
        </w:rPr>
        <w:t>____</w:t>
      </w:r>
      <w:r>
        <w:rPr>
          <w:rFonts w:ascii="Times New Roman" w:hAnsi="Times New Roman" w:cs="Times New Roman"/>
          <w:color w:val="365F91"/>
          <w:sz w:val="24"/>
          <w:szCs w:val="24"/>
        </w:rPr>
        <w:tab/>
      </w:r>
      <w:r w:rsidR="00950A1E" w:rsidRPr="00DB1AF5">
        <w:rPr>
          <w:rFonts w:ascii="Times New Roman" w:hAnsi="Times New Roman" w:cs="Times New Roman"/>
          <w:color w:val="365F91"/>
          <w:sz w:val="24"/>
          <w:szCs w:val="24"/>
        </w:rPr>
        <w:t>Review the signed and dated record</w:t>
      </w:r>
      <w:r w:rsidR="00DB1AF5" w:rsidRPr="00DB1AF5">
        <w:rPr>
          <w:rFonts w:ascii="Times New Roman" w:hAnsi="Times New Roman" w:cs="Times New Roman"/>
          <w:color w:val="365F91"/>
          <w:sz w:val="24"/>
          <w:szCs w:val="24"/>
        </w:rPr>
        <w:t>(s)</w:t>
      </w:r>
      <w:r w:rsidR="00950A1E" w:rsidRPr="00DB1AF5">
        <w:rPr>
          <w:rFonts w:ascii="Times New Roman" w:hAnsi="Times New Roman" w:cs="Times New Roman"/>
          <w:color w:val="365F91"/>
          <w:sz w:val="24"/>
          <w:szCs w:val="24"/>
        </w:rPr>
        <w:t xml:space="preserve"> of the senior manager or delegate(s) approval for the audit period.</w:t>
      </w:r>
    </w:p>
    <w:p w:rsidR="00E80E5B" w:rsidRDefault="00E80E5B" w:rsidP="0078439E">
      <w:pPr>
        <w:widowControl w:val="0"/>
        <w:ind w:left="1440"/>
        <w:rPr>
          <w:rFonts w:ascii="Times New Roman" w:hAnsi="Times New Roman" w:cs="Times New Roman"/>
          <w:color w:val="365F91"/>
          <w:sz w:val="24"/>
          <w:szCs w:val="24"/>
        </w:rPr>
      </w:pPr>
    </w:p>
    <w:p w:rsidR="00C1702D" w:rsidRPr="00C1702D" w:rsidRDefault="00DB1AF5" w:rsidP="0078439E">
      <w:pPr>
        <w:widowControl w:val="0"/>
        <w:ind w:left="1440"/>
        <w:rPr>
          <w:rFonts w:ascii="Times New Roman" w:hAnsi="Times New Roman" w:cs="Times New Roman"/>
          <w:b/>
          <w:color w:val="365F91"/>
          <w:sz w:val="24"/>
          <w:szCs w:val="24"/>
        </w:rPr>
      </w:pPr>
      <w:r w:rsidRPr="00DB1AF5">
        <w:rPr>
          <w:rFonts w:ascii="Times New Roman" w:hAnsi="Times New Roman" w:cs="Times New Roman"/>
          <w:color w:val="365F91"/>
          <w:sz w:val="24"/>
          <w:szCs w:val="24"/>
        </w:rPr>
        <w:t xml:space="preserve">Note: </w:t>
      </w:r>
      <w:r w:rsidR="00C1702D" w:rsidRPr="00DB1AF5">
        <w:rPr>
          <w:rFonts w:ascii="Times New Roman" w:hAnsi="Times New Roman" w:cs="Times New Roman"/>
          <w:color w:val="365F91"/>
          <w:sz w:val="24"/>
          <w:szCs w:val="24"/>
        </w:rPr>
        <w:t>If the application of the risk</w:t>
      </w:r>
      <w:r w:rsidR="00C1702D" w:rsidRPr="00DB1AF5">
        <w:rPr>
          <w:rFonts w:ascii="Times New Roman" w:hAnsi="Times New Roman" w:cs="Times New Roman"/>
          <w:color w:val="365F91"/>
          <w:sz w:val="24"/>
          <w:szCs w:val="24"/>
        </w:rPr>
        <w:noBreakHyphen/>
        <w:t>based methodology results in no Critical Assets or Critical Cyber Assets being identified (null set), the lists still need to denote the result and be approved by a senior manager or delegate(s).</w:t>
      </w:r>
      <w:r w:rsidR="00C1702D" w:rsidRPr="00C1702D">
        <w:rPr>
          <w:rFonts w:ascii="Times New Roman" w:hAnsi="Times New Roman" w:cs="Times New Roman"/>
          <w:b/>
          <w:color w:val="365F91"/>
          <w:sz w:val="24"/>
          <w:szCs w:val="24"/>
        </w:rPr>
        <w:t xml:space="preserve"> </w:t>
      </w:r>
    </w:p>
    <w:p w:rsidR="00C1702D" w:rsidRPr="008F7DA5" w:rsidRDefault="00C1702D" w:rsidP="0078439E">
      <w:pPr>
        <w:widowControl w:val="0"/>
        <w:rPr>
          <w:rFonts w:ascii="Times New Roman" w:hAnsi="Times New Roman" w:cs="Times New Roman"/>
          <w:b/>
          <w:bCs/>
          <w:color w:val="264D74"/>
          <w:sz w:val="24"/>
          <w:szCs w:val="24"/>
        </w:rPr>
      </w:pPr>
      <w:r w:rsidRPr="008F7DA5">
        <w:rPr>
          <w:rFonts w:ascii="Times New Roman" w:hAnsi="Times New Roman" w:cs="Times New Roman"/>
          <w:b/>
          <w:bCs/>
          <w:color w:val="264D74"/>
          <w:sz w:val="24"/>
          <w:szCs w:val="24"/>
        </w:rPr>
        <w:t>Detailed notes:</w:t>
      </w:r>
    </w:p>
    <w:p w:rsidR="00C1702D" w:rsidRPr="008F7DA5" w:rsidRDefault="00C1702D" w:rsidP="0078439E">
      <w:pPr>
        <w:widowControl w:val="0"/>
        <w:shd w:val="clear" w:color="auto" w:fill="D3DCE9"/>
        <w:rPr>
          <w:rFonts w:ascii="Times New Roman" w:hAnsi="Times New Roman" w:cs="Times New Roman"/>
          <w:bCs/>
          <w:color w:val="264D74"/>
          <w:sz w:val="24"/>
          <w:szCs w:val="24"/>
        </w:rPr>
      </w:pPr>
    </w:p>
    <w:p w:rsidR="00C1702D" w:rsidRPr="008F7DA5" w:rsidRDefault="00C1702D" w:rsidP="0078439E">
      <w:pPr>
        <w:widowControl w:val="0"/>
        <w:shd w:val="clear" w:color="auto" w:fill="D3DCE9"/>
        <w:rPr>
          <w:rFonts w:ascii="Times New Roman" w:hAnsi="Times New Roman" w:cs="Times New Roman"/>
          <w:bCs/>
          <w:color w:val="264D74"/>
          <w:sz w:val="24"/>
          <w:szCs w:val="24"/>
        </w:rPr>
      </w:pPr>
    </w:p>
    <w:p w:rsidR="00C1702D" w:rsidRPr="008F7DA5" w:rsidRDefault="00C1702D" w:rsidP="0078439E">
      <w:pPr>
        <w:widowControl w:val="0"/>
        <w:rPr>
          <w:rFonts w:ascii="Times New Roman" w:hAnsi="Times New Roman" w:cs="Times New Roman"/>
          <w:b/>
          <w:bCs/>
          <w:color w:val="264D74"/>
          <w:sz w:val="24"/>
          <w:szCs w:val="24"/>
        </w:rPr>
      </w:pPr>
    </w:p>
    <w:p w:rsidR="00C1702D" w:rsidRPr="008F7DA5" w:rsidRDefault="00C1702D" w:rsidP="0078439E">
      <w:pPr>
        <w:widowControl w:val="0"/>
        <w:rPr>
          <w:rFonts w:ascii="Times New Roman" w:hAnsi="Times New Roman" w:cs="Times New Roman"/>
          <w:b/>
          <w:bCs/>
          <w:color w:val="264D74"/>
          <w:sz w:val="24"/>
          <w:szCs w:val="24"/>
        </w:rPr>
      </w:pPr>
      <w:r w:rsidRPr="008F7DA5">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C1702D" w:rsidRPr="008F7DA5" w:rsidTr="00C1702D">
        <w:tc>
          <w:tcPr>
            <w:tcW w:w="7848" w:type="dxa"/>
            <w:tcBorders>
              <w:top w:val="single" w:sz="8" w:space="0" w:color="4F81BD"/>
              <w:left w:val="nil"/>
              <w:bottom w:val="single" w:sz="8" w:space="0" w:color="4F81BD"/>
              <w:right w:val="nil"/>
            </w:tcBorders>
          </w:tcPr>
          <w:p w:rsidR="00C1702D" w:rsidRPr="008F7DA5" w:rsidRDefault="00C1702D" w:rsidP="0078439E">
            <w:pPr>
              <w:widowControl w:val="0"/>
              <w:rPr>
                <w:rFonts w:ascii="Times New Roman" w:hAnsi="Times New Roman" w:cs="Times New Roman"/>
                <w:b/>
                <w:bCs/>
                <w:color w:val="264D74"/>
                <w:sz w:val="24"/>
                <w:szCs w:val="24"/>
              </w:rPr>
            </w:pPr>
            <w:r w:rsidRPr="008F7DA5">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C1702D" w:rsidRPr="008F7DA5" w:rsidRDefault="00C1702D" w:rsidP="0078439E">
            <w:pPr>
              <w:widowControl w:val="0"/>
              <w:jc w:val="center"/>
              <w:rPr>
                <w:rFonts w:ascii="Times New Roman" w:hAnsi="Times New Roman" w:cs="Times New Roman"/>
                <w:b/>
                <w:bCs/>
                <w:color w:val="264D74"/>
                <w:sz w:val="24"/>
                <w:szCs w:val="24"/>
              </w:rPr>
            </w:pPr>
            <w:r w:rsidRPr="008F7DA5">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C1702D" w:rsidRPr="008F7DA5" w:rsidRDefault="00C1702D" w:rsidP="0078439E">
            <w:pPr>
              <w:widowControl w:val="0"/>
              <w:jc w:val="center"/>
              <w:rPr>
                <w:rFonts w:ascii="Times New Roman" w:hAnsi="Times New Roman" w:cs="Times New Roman"/>
                <w:b/>
                <w:bCs/>
                <w:color w:val="264D74"/>
                <w:sz w:val="24"/>
                <w:szCs w:val="24"/>
              </w:rPr>
            </w:pPr>
            <w:r w:rsidRPr="008F7DA5">
              <w:rPr>
                <w:rFonts w:ascii="Times New Roman" w:hAnsi="Times New Roman" w:cs="Times New Roman"/>
                <w:b/>
                <w:bCs/>
                <w:color w:val="264D74"/>
                <w:sz w:val="24"/>
                <w:szCs w:val="24"/>
              </w:rPr>
              <w:t>Version</w:t>
            </w:r>
          </w:p>
        </w:tc>
      </w:tr>
      <w:tr w:rsidR="00C1702D" w:rsidRPr="008F7DA5" w:rsidTr="00C1702D">
        <w:tc>
          <w:tcPr>
            <w:tcW w:w="7848" w:type="dxa"/>
            <w:tcBorders>
              <w:top w:val="nil"/>
              <w:left w:val="nil"/>
              <w:bottom w:val="nil"/>
              <w:right w:val="nil"/>
            </w:tcBorders>
            <w:shd w:val="clear" w:color="auto" w:fill="D3DFEE"/>
          </w:tcPr>
          <w:p w:rsidR="00C1702D" w:rsidRPr="008F7DA5" w:rsidRDefault="00C1702D" w:rsidP="0078439E">
            <w:pPr>
              <w:widowControl w:val="0"/>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C1702D" w:rsidRPr="008F7DA5" w:rsidRDefault="00C1702D" w:rsidP="0078439E">
            <w:pPr>
              <w:widowControl w:val="0"/>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C1702D" w:rsidRPr="008F7DA5" w:rsidRDefault="00C1702D" w:rsidP="0078439E">
            <w:pPr>
              <w:widowControl w:val="0"/>
              <w:rPr>
                <w:rFonts w:ascii="Times New Roman" w:hAnsi="Times New Roman" w:cs="Times New Roman"/>
                <w:b/>
                <w:bCs/>
                <w:color w:val="264D74"/>
                <w:sz w:val="24"/>
                <w:szCs w:val="24"/>
              </w:rPr>
            </w:pPr>
          </w:p>
        </w:tc>
      </w:tr>
      <w:tr w:rsidR="00C1702D" w:rsidRPr="008F7DA5" w:rsidTr="00C1702D">
        <w:tc>
          <w:tcPr>
            <w:tcW w:w="7848" w:type="dxa"/>
            <w:tcBorders>
              <w:top w:val="nil"/>
              <w:left w:val="nil"/>
              <w:bottom w:val="nil"/>
              <w:right w:val="nil"/>
            </w:tcBorders>
          </w:tcPr>
          <w:p w:rsidR="00C1702D" w:rsidRPr="008F7DA5" w:rsidRDefault="00C1702D" w:rsidP="0078439E">
            <w:pPr>
              <w:widowControl w:val="0"/>
              <w:rPr>
                <w:rFonts w:ascii="Times New Roman" w:hAnsi="Times New Roman" w:cs="Times New Roman"/>
                <w:b/>
                <w:bCs/>
                <w:color w:val="264D74"/>
                <w:sz w:val="24"/>
                <w:szCs w:val="24"/>
              </w:rPr>
            </w:pPr>
          </w:p>
        </w:tc>
        <w:tc>
          <w:tcPr>
            <w:tcW w:w="1620" w:type="dxa"/>
            <w:tcBorders>
              <w:top w:val="nil"/>
              <w:left w:val="nil"/>
              <w:bottom w:val="nil"/>
              <w:right w:val="nil"/>
            </w:tcBorders>
          </w:tcPr>
          <w:p w:rsidR="00C1702D" w:rsidRPr="008F7DA5" w:rsidRDefault="00C1702D" w:rsidP="0078439E">
            <w:pPr>
              <w:widowControl w:val="0"/>
              <w:rPr>
                <w:rFonts w:ascii="Times New Roman" w:hAnsi="Times New Roman" w:cs="Times New Roman"/>
                <w:b/>
                <w:bCs/>
                <w:color w:val="264D74"/>
                <w:sz w:val="24"/>
                <w:szCs w:val="24"/>
              </w:rPr>
            </w:pPr>
          </w:p>
        </w:tc>
        <w:tc>
          <w:tcPr>
            <w:tcW w:w="1548" w:type="dxa"/>
            <w:tcBorders>
              <w:top w:val="nil"/>
              <w:left w:val="nil"/>
              <w:bottom w:val="nil"/>
              <w:right w:val="nil"/>
            </w:tcBorders>
          </w:tcPr>
          <w:p w:rsidR="00C1702D" w:rsidRPr="008F7DA5" w:rsidRDefault="00C1702D" w:rsidP="0078439E">
            <w:pPr>
              <w:widowControl w:val="0"/>
              <w:rPr>
                <w:rFonts w:ascii="Times New Roman" w:hAnsi="Times New Roman" w:cs="Times New Roman"/>
                <w:b/>
                <w:bCs/>
                <w:color w:val="264D74"/>
                <w:sz w:val="24"/>
                <w:szCs w:val="24"/>
              </w:rPr>
            </w:pPr>
          </w:p>
        </w:tc>
      </w:tr>
      <w:tr w:rsidR="00C1702D" w:rsidRPr="008F7DA5" w:rsidTr="00C1702D">
        <w:tc>
          <w:tcPr>
            <w:tcW w:w="7848" w:type="dxa"/>
            <w:tcBorders>
              <w:top w:val="nil"/>
              <w:left w:val="nil"/>
              <w:bottom w:val="single" w:sz="8" w:space="0" w:color="4F81BD"/>
              <w:right w:val="nil"/>
            </w:tcBorders>
            <w:shd w:val="clear" w:color="auto" w:fill="D3DFEE"/>
          </w:tcPr>
          <w:p w:rsidR="00C1702D" w:rsidRPr="008F7DA5" w:rsidRDefault="00C1702D" w:rsidP="0078439E">
            <w:pPr>
              <w:widowControl w:val="0"/>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C1702D" w:rsidRPr="008F7DA5" w:rsidRDefault="00C1702D" w:rsidP="0078439E">
            <w:pPr>
              <w:widowControl w:val="0"/>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C1702D" w:rsidRPr="008F7DA5" w:rsidRDefault="00C1702D" w:rsidP="0078439E">
            <w:pPr>
              <w:widowControl w:val="0"/>
              <w:rPr>
                <w:rFonts w:ascii="Times New Roman" w:hAnsi="Times New Roman" w:cs="Times New Roman"/>
                <w:b/>
                <w:bCs/>
                <w:color w:val="264D74"/>
                <w:sz w:val="24"/>
                <w:szCs w:val="24"/>
              </w:rPr>
            </w:pPr>
          </w:p>
        </w:tc>
      </w:tr>
    </w:tbl>
    <w:p w:rsidR="004101D3" w:rsidRPr="00E80E5B" w:rsidRDefault="004101D3" w:rsidP="00E80E5B">
      <w:pPr>
        <w:autoSpaceDE/>
        <w:autoSpaceDN/>
        <w:adjustRightInd/>
        <w:rPr>
          <w:rFonts w:ascii="Times New Roman" w:hAnsi="Times New Roman" w:cs="Times New Roman"/>
          <w:color w:val="365F91"/>
          <w:sz w:val="24"/>
          <w:szCs w:val="24"/>
        </w:rPr>
      </w:pPr>
    </w:p>
    <w:p w:rsidR="00E80E5B" w:rsidRPr="00E80E5B" w:rsidRDefault="00E80E5B" w:rsidP="00E80E5B">
      <w:pPr>
        <w:autoSpaceDE/>
        <w:autoSpaceDN/>
        <w:adjustRightInd/>
        <w:rPr>
          <w:rFonts w:ascii="Times New Roman" w:hAnsi="Times New Roman" w:cs="Times New Roman"/>
          <w:color w:val="365F91"/>
          <w:sz w:val="24"/>
          <w:szCs w:val="24"/>
        </w:rPr>
      </w:pPr>
    </w:p>
    <w:p w:rsidR="00950A1E" w:rsidRDefault="00950A1E" w:rsidP="0078439E">
      <w:pPr>
        <w:pStyle w:val="Heading1"/>
      </w:pPr>
      <w:r>
        <w:t>Supplemental Information</w:t>
      </w:r>
    </w:p>
    <w:p w:rsidR="00950A1E" w:rsidRDefault="00950A1E" w:rsidP="0078439E">
      <w:pPr>
        <w:widowControl w:val="0"/>
        <w:rPr>
          <w:rFonts w:ascii="Times New Roman" w:hAnsi="Times New Roman" w:cs="Times New Roman"/>
          <w:b/>
          <w:bCs/>
          <w:color w:val="264D74"/>
          <w:sz w:val="24"/>
          <w:szCs w:val="24"/>
        </w:rPr>
      </w:pPr>
    </w:p>
    <w:p w:rsidR="008911C4" w:rsidRPr="008911C4" w:rsidRDefault="008911C4" w:rsidP="0078439E">
      <w:pPr>
        <w:rPr>
          <w:rFonts w:ascii="Times New Roman" w:hAnsi="Times New Roman" w:cs="Times New Roman"/>
          <w:sz w:val="24"/>
          <w:szCs w:val="24"/>
        </w:rPr>
      </w:pPr>
      <w:r w:rsidRPr="008911C4">
        <w:rPr>
          <w:rStyle w:val="Strong"/>
          <w:rFonts w:ascii="Times New Roman" w:hAnsi="Times New Roman" w:cs="Times New Roman"/>
          <w:sz w:val="24"/>
          <w:szCs w:val="24"/>
        </w:rPr>
        <w:t xml:space="preserve">Other </w:t>
      </w:r>
      <w:r w:rsidRPr="008911C4">
        <w:rPr>
          <w:rStyle w:val="Strong"/>
          <w:rFonts w:ascii="Times New Roman" w:hAnsi="Times New Roman" w:cs="Times New Roman"/>
          <w:sz w:val="24"/>
          <w:szCs w:val="24"/>
        </w:rPr>
        <w:noBreakHyphen/>
      </w:r>
      <w:r w:rsidRPr="008911C4">
        <w:rPr>
          <w:rFonts w:ascii="Times New Roman" w:hAnsi="Times New Roman" w:cs="Times New Roman"/>
          <w:sz w:val="24"/>
          <w:szCs w:val="24"/>
        </w:rPr>
        <w:t xml:space="preserve"> The list of questions above is not all inclusive of evidence required to show compliance with the Reliability Standard. Provide additional </w:t>
      </w:r>
      <w:r w:rsidR="00F84CA0" w:rsidRPr="008911C4">
        <w:rPr>
          <w:rFonts w:ascii="Times New Roman" w:hAnsi="Times New Roman" w:cs="Times New Roman"/>
          <w:sz w:val="24"/>
          <w:szCs w:val="24"/>
        </w:rPr>
        <w:t>information</w:t>
      </w:r>
      <w:r w:rsidR="00F84CA0">
        <w:rPr>
          <w:rFonts w:ascii="Times New Roman" w:hAnsi="Times New Roman" w:cs="Times New Roman"/>
          <w:sz w:val="24"/>
          <w:szCs w:val="24"/>
        </w:rPr>
        <w:t xml:space="preserve"> </w:t>
      </w:r>
      <w:r w:rsidRPr="008911C4">
        <w:rPr>
          <w:rFonts w:ascii="Times New Roman" w:hAnsi="Times New Roman" w:cs="Times New Roman"/>
          <w:sz w:val="24"/>
          <w:szCs w:val="24"/>
        </w:rPr>
        <w:t>here</w:t>
      </w:r>
      <w:r w:rsidRPr="008911C4">
        <w:rPr>
          <w:rStyle w:val="Strong"/>
          <w:rFonts w:ascii="Times New Roman" w:hAnsi="Times New Roman" w:cs="Times New Roman"/>
          <w:b w:val="0"/>
          <w:sz w:val="24"/>
          <w:szCs w:val="24"/>
        </w:rPr>
        <w:t xml:space="preserve">, </w:t>
      </w:r>
      <w:r w:rsidRPr="008911C4">
        <w:rPr>
          <w:rStyle w:val="Strong"/>
          <w:rFonts w:ascii="Times New Roman" w:hAnsi="Times New Roman" w:cs="Times New Roman"/>
          <w:sz w:val="24"/>
          <w:szCs w:val="24"/>
          <w:u w:val="single"/>
        </w:rPr>
        <w:t>as necessary</w:t>
      </w:r>
      <w:r w:rsidRPr="008911C4">
        <w:rPr>
          <w:rStyle w:val="Strong"/>
          <w:rFonts w:ascii="Times New Roman" w:hAnsi="Times New Roman" w:cs="Times New Roman"/>
          <w:b w:val="0"/>
          <w:sz w:val="24"/>
          <w:szCs w:val="24"/>
        </w:rPr>
        <w:t xml:space="preserve"> that</w:t>
      </w:r>
      <w:r w:rsidRPr="008911C4">
        <w:rPr>
          <w:rFonts w:ascii="Times New Roman" w:hAnsi="Times New Roman" w:cs="Times New Roman"/>
          <w:b/>
          <w:sz w:val="24"/>
          <w:szCs w:val="24"/>
        </w:rPr>
        <w:t xml:space="preserve"> </w:t>
      </w:r>
      <w:r w:rsidRPr="008911C4">
        <w:rPr>
          <w:rFonts w:ascii="Times New Roman" w:hAnsi="Times New Roman" w:cs="Times New Roman"/>
          <w:sz w:val="24"/>
          <w:szCs w:val="24"/>
        </w:rPr>
        <w:t>demonstrates compliance with this Reliability Standard.</w:t>
      </w:r>
    </w:p>
    <w:p w:rsidR="00950A1E" w:rsidRDefault="00950A1E" w:rsidP="0078439E">
      <w:pPr>
        <w:widowControl w:val="0"/>
        <w:rPr>
          <w:rFonts w:ascii="Times New Roman" w:hAnsi="Times New Roman" w:cs="Times New Roman"/>
          <w:sz w:val="24"/>
          <w:szCs w:val="24"/>
        </w:rPr>
      </w:pPr>
      <w:r>
        <w:rPr>
          <w:rFonts w:ascii="Times New Roman" w:hAnsi="Times New Roman" w:cs="Times New Roman"/>
          <w:color w:val="000000"/>
          <w:sz w:val="24"/>
          <w:szCs w:val="24"/>
        </w:rPr>
        <w:t xml:space="preserve"> </w:t>
      </w:r>
    </w:p>
    <w:p w:rsidR="00950A1E" w:rsidRDefault="00950A1E" w:rsidP="0078439E">
      <w:pPr>
        <w:widowControl w:val="0"/>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950A1E" w:rsidRDefault="00950A1E" w:rsidP="0078439E">
      <w:pPr>
        <w:widowControl w:val="0"/>
        <w:rPr>
          <w:rFonts w:ascii="Times New Roman" w:hAnsi="Times New Roman" w:cs="Times New Roman"/>
          <w:sz w:val="24"/>
          <w:szCs w:val="24"/>
        </w:rPr>
      </w:pPr>
    </w:p>
    <w:p w:rsidR="00950A1E" w:rsidRDefault="00950A1E" w:rsidP="0078439E">
      <w:pPr>
        <w:widowControl w:val="0"/>
        <w:shd w:val="clear" w:color="auto" w:fill="D3DCE9"/>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950A1E" w:rsidRDefault="00950A1E" w:rsidP="0078439E">
      <w:pPr>
        <w:widowControl w:val="0"/>
        <w:shd w:val="clear" w:color="auto" w:fill="D3DCE9"/>
        <w:rPr>
          <w:rFonts w:ascii="Times New Roman" w:hAnsi="Times New Roman" w:cs="Times New Roman"/>
          <w:bCs/>
          <w:color w:val="264D74"/>
          <w:sz w:val="24"/>
          <w:szCs w:val="24"/>
        </w:rPr>
      </w:pPr>
    </w:p>
    <w:p w:rsidR="005A3CAE" w:rsidRPr="008F7DA5" w:rsidRDefault="005A3CAE" w:rsidP="0078439E">
      <w:pPr>
        <w:widowControl w:val="0"/>
        <w:ind w:left="2070" w:hanging="2070"/>
        <w:rPr>
          <w:rFonts w:ascii="Times New Roman" w:hAnsi="Times New Roman" w:cs="Times New Roman"/>
          <w:b/>
          <w:bCs/>
          <w:color w:val="264D74"/>
          <w:sz w:val="24"/>
          <w:szCs w:val="24"/>
        </w:rPr>
      </w:pPr>
      <w:bookmarkStart w:id="2" w:name="RSAW"/>
      <w:bookmarkEnd w:id="2"/>
    </w:p>
    <w:p w:rsidR="001B6A45" w:rsidRPr="00F84CA0" w:rsidRDefault="001B6A45" w:rsidP="0078439E">
      <w:pPr>
        <w:widowControl w:val="0"/>
        <w:rPr>
          <w:rFonts w:ascii="Times New Roman" w:hAnsi="Times New Roman" w:cs="Times New Roman"/>
          <w:b/>
          <w:bCs/>
          <w:color w:val="264D74"/>
          <w:sz w:val="24"/>
          <w:szCs w:val="24"/>
        </w:rPr>
      </w:pPr>
    </w:p>
    <w:p w:rsidR="001B6A45" w:rsidRPr="00F84CA0" w:rsidRDefault="001B6A45" w:rsidP="0078439E">
      <w:pPr>
        <w:widowControl w:val="0"/>
        <w:rPr>
          <w:rFonts w:ascii="Times New Roman" w:hAnsi="Times New Roman" w:cs="Times New Roman"/>
          <w:b/>
          <w:bCs/>
          <w:color w:val="264D74"/>
          <w:sz w:val="24"/>
          <w:szCs w:val="24"/>
        </w:rPr>
      </w:pPr>
    </w:p>
    <w:p w:rsidR="0025602F" w:rsidRPr="00A36721" w:rsidRDefault="0025602F" w:rsidP="0078439E">
      <w:pPr>
        <w:pStyle w:val="Heading1"/>
        <w:rPr>
          <w:szCs w:val="20"/>
        </w:rPr>
      </w:pPr>
      <w:r w:rsidRPr="00A36721">
        <w:t>Compliance Findings Summary</w:t>
      </w:r>
      <w:r w:rsidRPr="00A36721">
        <w:rPr>
          <w:sz w:val="20"/>
          <w:szCs w:val="20"/>
        </w:rPr>
        <w:t xml:space="preserve"> (to be filled out by auditor)</w:t>
      </w:r>
    </w:p>
    <w:p w:rsidR="008911C4" w:rsidRPr="008911C4" w:rsidRDefault="008911C4" w:rsidP="0078439E"/>
    <w:tbl>
      <w:tblPr>
        <w:tblW w:w="0" w:type="auto"/>
        <w:tblLook w:val="00A0" w:firstRow="1" w:lastRow="0" w:firstColumn="1" w:lastColumn="0" w:noHBand="0" w:noVBand="0"/>
      </w:tblPr>
      <w:tblGrid>
        <w:gridCol w:w="693"/>
        <w:gridCol w:w="541"/>
        <w:gridCol w:w="617"/>
        <w:gridCol w:w="597"/>
        <w:gridCol w:w="8568"/>
      </w:tblGrid>
      <w:tr w:rsidR="0025602F" w:rsidRPr="008374A0" w:rsidTr="000F4946">
        <w:tc>
          <w:tcPr>
            <w:tcW w:w="693" w:type="dxa"/>
            <w:tcBorders>
              <w:top w:val="single" w:sz="4" w:space="0" w:color="548DD4"/>
              <w:bottom w:val="single" w:sz="4" w:space="0" w:color="548DD4"/>
            </w:tcBorders>
          </w:tcPr>
          <w:p w:rsidR="0025602F" w:rsidRDefault="0025602F" w:rsidP="0078439E">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41" w:type="dxa"/>
            <w:tcBorders>
              <w:top w:val="single" w:sz="4" w:space="0" w:color="548DD4"/>
              <w:bottom w:val="single" w:sz="4" w:space="0" w:color="548DD4"/>
            </w:tcBorders>
          </w:tcPr>
          <w:p w:rsidR="0025602F" w:rsidRPr="008374A0" w:rsidRDefault="0025602F" w:rsidP="0078439E">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617" w:type="dxa"/>
            <w:tcBorders>
              <w:top w:val="single" w:sz="4" w:space="0" w:color="548DD4"/>
              <w:bottom w:val="single" w:sz="4" w:space="0" w:color="548DD4"/>
            </w:tcBorders>
          </w:tcPr>
          <w:p w:rsidR="0025602F" w:rsidRPr="008374A0" w:rsidRDefault="0025602F" w:rsidP="0078439E">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97" w:type="dxa"/>
            <w:tcBorders>
              <w:top w:val="single" w:sz="4" w:space="0" w:color="548DD4"/>
              <w:bottom w:val="single" w:sz="4" w:space="0" w:color="548DD4"/>
            </w:tcBorders>
          </w:tcPr>
          <w:p w:rsidR="0025602F" w:rsidRDefault="0025602F" w:rsidP="0078439E">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568" w:type="dxa"/>
            <w:tcBorders>
              <w:top w:val="single" w:sz="4" w:space="0" w:color="548DD4"/>
              <w:bottom w:val="single" w:sz="4" w:space="0" w:color="548DD4"/>
            </w:tcBorders>
          </w:tcPr>
          <w:p w:rsidR="0025602F" w:rsidRPr="008374A0" w:rsidRDefault="0025602F" w:rsidP="0078439E">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25602F" w:rsidRPr="008374A0" w:rsidTr="000F4946">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25602F" w:rsidRPr="008374A0" w:rsidRDefault="0025602F" w:rsidP="0078439E">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25602F" w:rsidRPr="008374A0" w:rsidRDefault="0025602F" w:rsidP="0078439E">
            <w:pPr>
              <w:widowControl w:val="0"/>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25602F" w:rsidRPr="008374A0" w:rsidRDefault="0025602F" w:rsidP="0078439E">
            <w:pPr>
              <w:widowControl w:val="0"/>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25602F" w:rsidRPr="008374A0" w:rsidRDefault="0025602F" w:rsidP="0078439E">
            <w:pPr>
              <w:widowControl w:val="0"/>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25602F" w:rsidRPr="008374A0" w:rsidRDefault="0025602F" w:rsidP="0078439E">
            <w:pPr>
              <w:widowControl w:val="0"/>
              <w:rPr>
                <w:rFonts w:ascii="Times New Roman" w:hAnsi="Times New Roman" w:cs="Times New Roman"/>
                <w:b/>
                <w:bCs/>
                <w:color w:val="264D74"/>
                <w:sz w:val="24"/>
                <w:szCs w:val="24"/>
              </w:rPr>
            </w:pPr>
          </w:p>
        </w:tc>
      </w:tr>
      <w:tr w:rsidR="0025602F" w:rsidRPr="008374A0" w:rsidTr="000F4946">
        <w:tc>
          <w:tcPr>
            <w:tcW w:w="693" w:type="dxa"/>
            <w:tcBorders>
              <w:top w:val="single" w:sz="4" w:space="0" w:color="548DD4"/>
              <w:left w:val="single" w:sz="4" w:space="0" w:color="548DD4"/>
              <w:bottom w:val="single" w:sz="4" w:space="0" w:color="548DD4"/>
              <w:right w:val="single" w:sz="4" w:space="0" w:color="548DD4"/>
            </w:tcBorders>
          </w:tcPr>
          <w:p w:rsidR="0025602F" w:rsidRPr="008374A0" w:rsidRDefault="0025602F" w:rsidP="0078439E">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41" w:type="dxa"/>
            <w:tcBorders>
              <w:top w:val="single" w:sz="4" w:space="0" w:color="548DD4"/>
              <w:left w:val="single" w:sz="4" w:space="0" w:color="548DD4"/>
              <w:bottom w:val="single" w:sz="4" w:space="0" w:color="548DD4"/>
              <w:right w:val="single" w:sz="4" w:space="0" w:color="548DD4"/>
            </w:tcBorders>
          </w:tcPr>
          <w:p w:rsidR="0025602F" w:rsidRPr="008374A0" w:rsidRDefault="0025602F" w:rsidP="0078439E">
            <w:pPr>
              <w:widowControl w:val="0"/>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tcPr>
          <w:p w:rsidR="0025602F" w:rsidRPr="008374A0" w:rsidRDefault="0025602F" w:rsidP="0078439E">
            <w:pPr>
              <w:widowControl w:val="0"/>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tcPr>
          <w:p w:rsidR="0025602F" w:rsidRPr="008374A0" w:rsidRDefault="0025602F" w:rsidP="0078439E">
            <w:pPr>
              <w:widowControl w:val="0"/>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tcPr>
          <w:p w:rsidR="0025602F" w:rsidRPr="008374A0" w:rsidRDefault="0025602F" w:rsidP="0078439E">
            <w:pPr>
              <w:widowControl w:val="0"/>
              <w:rPr>
                <w:rFonts w:ascii="Times New Roman" w:hAnsi="Times New Roman" w:cs="Times New Roman"/>
                <w:b/>
                <w:bCs/>
                <w:color w:val="264D74"/>
                <w:sz w:val="24"/>
                <w:szCs w:val="24"/>
              </w:rPr>
            </w:pPr>
          </w:p>
        </w:tc>
      </w:tr>
      <w:tr w:rsidR="0025602F" w:rsidRPr="008374A0" w:rsidTr="000F4946">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25602F" w:rsidRPr="008374A0" w:rsidRDefault="0025602F" w:rsidP="0078439E">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25602F" w:rsidRPr="008374A0" w:rsidRDefault="0025602F" w:rsidP="0078439E">
            <w:pPr>
              <w:widowControl w:val="0"/>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25602F" w:rsidRPr="008374A0" w:rsidRDefault="0025602F" w:rsidP="0078439E">
            <w:pPr>
              <w:widowControl w:val="0"/>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25602F" w:rsidRPr="008374A0" w:rsidRDefault="0025602F" w:rsidP="0078439E">
            <w:pPr>
              <w:widowControl w:val="0"/>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25602F" w:rsidRPr="008374A0" w:rsidRDefault="0025602F" w:rsidP="0078439E">
            <w:pPr>
              <w:widowControl w:val="0"/>
              <w:rPr>
                <w:rFonts w:ascii="Times New Roman" w:hAnsi="Times New Roman" w:cs="Times New Roman"/>
                <w:b/>
                <w:bCs/>
                <w:color w:val="264D74"/>
                <w:sz w:val="24"/>
                <w:szCs w:val="24"/>
              </w:rPr>
            </w:pPr>
          </w:p>
        </w:tc>
      </w:tr>
      <w:tr w:rsidR="0025602F" w:rsidRPr="008374A0" w:rsidTr="000F4946">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25602F" w:rsidRDefault="0025602F" w:rsidP="0078439E">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541" w:type="dxa"/>
            <w:tcBorders>
              <w:top w:val="single" w:sz="4" w:space="0" w:color="548DD4"/>
              <w:left w:val="single" w:sz="4" w:space="0" w:color="548DD4"/>
              <w:bottom w:val="single" w:sz="4" w:space="0" w:color="548DD4"/>
              <w:right w:val="single" w:sz="4" w:space="0" w:color="548DD4"/>
            </w:tcBorders>
            <w:shd w:val="clear" w:color="auto" w:fill="auto"/>
          </w:tcPr>
          <w:p w:rsidR="0025602F" w:rsidRPr="008374A0" w:rsidRDefault="0025602F" w:rsidP="0078439E">
            <w:pPr>
              <w:widowControl w:val="0"/>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auto"/>
          </w:tcPr>
          <w:p w:rsidR="0025602F" w:rsidRPr="008374A0" w:rsidRDefault="0025602F" w:rsidP="0078439E">
            <w:pPr>
              <w:widowControl w:val="0"/>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auto"/>
          </w:tcPr>
          <w:p w:rsidR="0025602F" w:rsidRPr="008374A0" w:rsidRDefault="0025602F" w:rsidP="0078439E">
            <w:pPr>
              <w:widowControl w:val="0"/>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auto"/>
          </w:tcPr>
          <w:p w:rsidR="0025602F" w:rsidRPr="008374A0" w:rsidRDefault="0025602F" w:rsidP="0078439E">
            <w:pPr>
              <w:widowControl w:val="0"/>
              <w:rPr>
                <w:rFonts w:ascii="Times New Roman" w:hAnsi="Times New Roman" w:cs="Times New Roman"/>
                <w:b/>
                <w:bCs/>
                <w:color w:val="264D74"/>
                <w:sz w:val="24"/>
                <w:szCs w:val="24"/>
              </w:rPr>
            </w:pPr>
          </w:p>
        </w:tc>
      </w:tr>
    </w:tbl>
    <w:p w:rsidR="00D90AF9" w:rsidRDefault="00D90AF9" w:rsidP="00E80E5B">
      <w:pPr>
        <w:widowControl w:val="0"/>
        <w:rPr>
          <w:rFonts w:ascii="Times New Roman" w:hAnsi="Times New Roman" w:cs="Times New Roman"/>
          <w:b/>
          <w:bCs/>
          <w:color w:val="000000"/>
          <w:sz w:val="24"/>
          <w:szCs w:val="24"/>
        </w:rPr>
      </w:pPr>
    </w:p>
    <w:p w:rsidR="007A020B" w:rsidRPr="007A020B" w:rsidRDefault="009740A3" w:rsidP="0078439E">
      <w:pPr>
        <w:pStyle w:val="Header"/>
        <w:tabs>
          <w:tab w:val="clear" w:pos="4680"/>
          <w:tab w:val="clear" w:pos="9360"/>
        </w:tabs>
        <w:jc w:val="right"/>
        <w:rPr>
          <w:rFonts w:ascii="Times New Roman" w:hAnsi="Times New Roman" w:cs="Times New Roman"/>
          <w:b/>
          <w:sz w:val="24"/>
          <w:szCs w:val="24"/>
        </w:rPr>
      </w:pPr>
      <w:r>
        <w:rPr>
          <w:rFonts w:ascii="Times New Roman" w:hAnsi="Times New Roman" w:cs="Times New Roman"/>
          <w:b/>
          <w:sz w:val="24"/>
          <w:szCs w:val="24"/>
        </w:rPr>
        <w:br w:type="page"/>
      </w:r>
      <w:r w:rsidR="007A020B" w:rsidRPr="007A020B">
        <w:rPr>
          <w:rFonts w:ascii="Times New Roman" w:hAnsi="Times New Roman" w:cs="Times New Roman"/>
          <w:b/>
          <w:sz w:val="24"/>
          <w:szCs w:val="24"/>
        </w:rPr>
        <w:t xml:space="preserve">Excerpts </w:t>
      </w:r>
      <w:r w:rsidR="003C592F">
        <w:rPr>
          <w:rFonts w:ascii="Times New Roman" w:hAnsi="Times New Roman" w:cs="Times New Roman"/>
          <w:b/>
          <w:sz w:val="24"/>
          <w:szCs w:val="24"/>
        </w:rPr>
        <w:t>f</w:t>
      </w:r>
      <w:r w:rsidR="007A020B" w:rsidRPr="007A020B">
        <w:rPr>
          <w:rFonts w:ascii="Times New Roman" w:hAnsi="Times New Roman" w:cs="Times New Roman"/>
          <w:b/>
          <w:sz w:val="24"/>
          <w:szCs w:val="24"/>
        </w:rPr>
        <w:t>rom FERC Orders -- For Reference Purposes Only</w:t>
      </w:r>
    </w:p>
    <w:p w:rsidR="007A020B" w:rsidRPr="007A020B" w:rsidRDefault="007A020B" w:rsidP="0078439E">
      <w:pPr>
        <w:pStyle w:val="Header"/>
        <w:tabs>
          <w:tab w:val="clear" w:pos="4680"/>
          <w:tab w:val="clear" w:pos="9360"/>
        </w:tabs>
        <w:jc w:val="right"/>
        <w:rPr>
          <w:rFonts w:ascii="Times New Roman" w:hAnsi="Times New Roman" w:cs="Times New Roman"/>
          <w:b/>
          <w:sz w:val="24"/>
          <w:szCs w:val="24"/>
        </w:rPr>
      </w:pPr>
      <w:r w:rsidRPr="007A020B">
        <w:rPr>
          <w:rFonts w:ascii="Times New Roman" w:hAnsi="Times New Roman" w:cs="Times New Roman"/>
          <w:b/>
          <w:sz w:val="24"/>
          <w:szCs w:val="24"/>
        </w:rPr>
        <w:t xml:space="preserve">Updated Through </w:t>
      </w:r>
      <w:r w:rsidR="00490D74">
        <w:rPr>
          <w:rFonts w:ascii="Times New Roman" w:hAnsi="Times New Roman" w:cs="Times New Roman"/>
          <w:b/>
          <w:sz w:val="24"/>
          <w:szCs w:val="24"/>
        </w:rPr>
        <w:t>August 2010</w:t>
      </w:r>
    </w:p>
    <w:p w:rsidR="007A020B" w:rsidRPr="007A020B" w:rsidRDefault="007A020B" w:rsidP="0078439E">
      <w:pPr>
        <w:pStyle w:val="Header"/>
        <w:tabs>
          <w:tab w:val="clear" w:pos="4680"/>
          <w:tab w:val="clear" w:pos="9360"/>
        </w:tabs>
        <w:jc w:val="right"/>
        <w:rPr>
          <w:rFonts w:ascii="Times New Roman" w:hAnsi="Times New Roman" w:cs="Times New Roman"/>
          <w:b/>
          <w:sz w:val="24"/>
          <w:szCs w:val="24"/>
        </w:rPr>
      </w:pPr>
      <w:r w:rsidRPr="007A020B">
        <w:rPr>
          <w:rFonts w:ascii="Times New Roman" w:hAnsi="Times New Roman" w:cs="Times New Roman"/>
          <w:b/>
          <w:sz w:val="24"/>
          <w:szCs w:val="24"/>
        </w:rPr>
        <w:t>CIP-002-1</w:t>
      </w:r>
    </w:p>
    <w:p w:rsidR="007A020B" w:rsidRPr="007A020B" w:rsidRDefault="007A020B" w:rsidP="0078439E">
      <w:pPr>
        <w:pStyle w:val="Header"/>
        <w:tabs>
          <w:tab w:val="clear" w:pos="4680"/>
          <w:tab w:val="clear" w:pos="9360"/>
        </w:tabs>
        <w:jc w:val="right"/>
        <w:rPr>
          <w:rFonts w:ascii="Times New Roman" w:hAnsi="Times New Roman" w:cs="Times New Roman"/>
          <w:b/>
          <w:sz w:val="24"/>
          <w:szCs w:val="24"/>
        </w:rPr>
      </w:pPr>
    </w:p>
    <w:p w:rsidR="007A020B" w:rsidRPr="007A020B" w:rsidRDefault="007A020B" w:rsidP="0078439E">
      <w:pPr>
        <w:rPr>
          <w:rFonts w:ascii="Times New Roman" w:hAnsi="Times New Roman" w:cs="Times New Roman"/>
          <w:sz w:val="24"/>
          <w:szCs w:val="24"/>
        </w:rPr>
      </w:pPr>
      <w:r w:rsidRPr="007A020B">
        <w:rPr>
          <w:rFonts w:ascii="Times New Roman" w:hAnsi="Times New Roman" w:cs="Times New Roman"/>
          <w:b/>
          <w:sz w:val="24"/>
          <w:szCs w:val="24"/>
        </w:rPr>
        <w:t xml:space="preserve">Order 706  </w:t>
      </w:r>
    </w:p>
    <w:p w:rsidR="007A020B" w:rsidRPr="007A020B" w:rsidRDefault="007A020B" w:rsidP="0078439E">
      <w:pPr>
        <w:rPr>
          <w:rFonts w:ascii="Times New Roman" w:hAnsi="Times New Roman" w:cs="Times New Roman"/>
          <w:b/>
          <w:sz w:val="24"/>
          <w:szCs w:val="24"/>
        </w:rPr>
      </w:pPr>
    </w:p>
    <w:p w:rsidR="007A020B" w:rsidRPr="007A020B" w:rsidRDefault="007A020B" w:rsidP="0078439E">
      <w:pPr>
        <w:pStyle w:val="FERCparanumber"/>
        <w:numPr>
          <w:ilvl w:val="0"/>
          <w:numId w:val="0"/>
        </w:numPr>
        <w:spacing w:after="0"/>
        <w:rPr>
          <w:sz w:val="24"/>
        </w:rPr>
      </w:pPr>
      <w:r w:rsidRPr="007A020B">
        <w:rPr>
          <w:sz w:val="24"/>
        </w:rPr>
        <w:t>P 1.  Pursuant to section 215 of the Federal Power Act (FPA), the Commission approves eight Critical Infrastructure Protection (CIP) Reliability Standards submitted to the Commission for approval by the North American Electric Reliability Corporation (NERC).  The CIP Reliability Standards require certain users, owners, and operators of the Bulk-Power System to comply with specific requirements to safeguard critical cyber assets.  In addition, pursuant to section 215(d)(5) of the FPA, the Commission directs NERC to develop modifications to the CIP Reliability Standards to address specific concerns identified by the Commission.</w:t>
      </w:r>
    </w:p>
    <w:p w:rsidR="004204C9" w:rsidRDefault="004204C9" w:rsidP="0078439E">
      <w:pPr>
        <w:pStyle w:val="FERCparanumber"/>
        <w:numPr>
          <w:ilvl w:val="0"/>
          <w:numId w:val="0"/>
        </w:numPr>
        <w:spacing w:after="0"/>
        <w:rPr>
          <w:sz w:val="24"/>
        </w:rPr>
      </w:pPr>
    </w:p>
    <w:p w:rsidR="007A020B" w:rsidRPr="007A020B" w:rsidRDefault="007A020B" w:rsidP="0078439E">
      <w:pPr>
        <w:pStyle w:val="FERCparanumber"/>
        <w:numPr>
          <w:ilvl w:val="0"/>
          <w:numId w:val="0"/>
        </w:numPr>
        <w:spacing w:after="0"/>
        <w:rPr>
          <w:sz w:val="24"/>
        </w:rPr>
      </w:pPr>
      <w:r w:rsidRPr="007A020B">
        <w:rPr>
          <w:sz w:val="24"/>
        </w:rPr>
        <w:t>P 13.  In the Final Rule, the Commission approves the eight CIP Reliability Standards, finding that they are just and reasonable, not unduly discriminatory or preferential and in the public interest.  Further, the Commission approves NERC’s implementation plan that sets milestones for responsible entities to achieve full compliance with the CIP Reliability Standards … .</w:t>
      </w:r>
    </w:p>
    <w:p w:rsidR="004204C9" w:rsidRDefault="004204C9" w:rsidP="0078439E">
      <w:pPr>
        <w:pStyle w:val="FERCparanumber"/>
        <w:numPr>
          <w:ilvl w:val="0"/>
          <w:numId w:val="0"/>
        </w:numPr>
        <w:spacing w:after="0"/>
        <w:rPr>
          <w:sz w:val="24"/>
        </w:rPr>
      </w:pPr>
    </w:p>
    <w:p w:rsidR="007A020B" w:rsidRPr="007A020B" w:rsidRDefault="007A020B" w:rsidP="0078439E">
      <w:pPr>
        <w:pStyle w:val="FERCparanumber"/>
        <w:numPr>
          <w:ilvl w:val="0"/>
          <w:numId w:val="0"/>
        </w:numPr>
        <w:spacing w:after="0"/>
        <w:rPr>
          <w:sz w:val="24"/>
        </w:rPr>
      </w:pPr>
      <w:r w:rsidRPr="007A020B">
        <w:rPr>
          <w:sz w:val="24"/>
        </w:rPr>
        <w:t>P 24.  The Commission approves the eight CIP Reliability Standards pursuant to section 215(d) of the FPA, as discussed below.  In approving the CIP Reliability Standards, the Commission concludes that they are just, reasonable, not unduly discriminatory or preferential, and in the public interest.  These CIP Reliability Standards, together, provide baseline requirements for the protection of critical cyber assets that support the nation’s Bulk-Power System.  Thus, the CIP Reliability Standards serve an important reliability goal.  Further, as discussed below, the CIP Reliability Standards clearly identify the entities to which they apply, apply throughout the interconnected Bulk-Power System, and provide a reasonable timetable for implementation.</w:t>
      </w:r>
    </w:p>
    <w:p w:rsidR="004204C9" w:rsidRDefault="004204C9" w:rsidP="0078439E">
      <w:pPr>
        <w:pStyle w:val="FERCparanumber"/>
        <w:numPr>
          <w:ilvl w:val="0"/>
          <w:numId w:val="0"/>
        </w:numPr>
        <w:spacing w:after="0"/>
        <w:rPr>
          <w:sz w:val="24"/>
        </w:rPr>
      </w:pPr>
    </w:p>
    <w:p w:rsidR="007A020B" w:rsidRPr="007A020B" w:rsidRDefault="007A020B" w:rsidP="0078439E">
      <w:pPr>
        <w:pStyle w:val="FERCparanumber"/>
        <w:numPr>
          <w:ilvl w:val="0"/>
          <w:numId w:val="0"/>
        </w:numPr>
        <w:spacing w:after="0"/>
        <w:rPr>
          <w:sz w:val="24"/>
        </w:rPr>
      </w:pPr>
      <w:r w:rsidRPr="007A020B">
        <w:rPr>
          <w:sz w:val="24"/>
        </w:rPr>
        <w:t xml:space="preserve">P 47.  The Commission adopts the CIP NOPR approach regarding NERC and Regional Entity compliance with the CIP Reliability Standards.  The Commission maintains its belief that NERC’s compliance is necessary in light of its interconnectivity with other entities that own and operate critical assets.  Further, we conclude that NERC’s Rules of Procedure, which state that the ERO will comply with each Reliability Standard that identifies the ERO as an applicable entity, provides an adequate means to assure that NERC is obligated to comply with the CIP Reliability Standards.  Likewise, the delegation agreements between NERC and each Regional Entity expressly state that the Regional Entity is committed to comply with approved Reliability Standards.  Based on these provisions, we find that the Commission has authority to oversee the compliance of NERC and the Regional Entities with the CIP Reliability Standards.  </w:t>
      </w:r>
    </w:p>
    <w:p w:rsidR="004204C9" w:rsidRDefault="004204C9" w:rsidP="0078439E">
      <w:pPr>
        <w:pStyle w:val="FERCparanumber"/>
        <w:numPr>
          <w:ilvl w:val="0"/>
          <w:numId w:val="0"/>
        </w:numPr>
        <w:spacing w:after="0"/>
        <w:rPr>
          <w:sz w:val="24"/>
        </w:rPr>
      </w:pPr>
    </w:p>
    <w:p w:rsidR="007A020B" w:rsidRPr="007A020B" w:rsidRDefault="007A020B" w:rsidP="0078439E">
      <w:pPr>
        <w:pStyle w:val="FERCparanumber"/>
        <w:numPr>
          <w:ilvl w:val="0"/>
          <w:numId w:val="0"/>
        </w:numPr>
        <w:spacing w:after="0"/>
        <w:rPr>
          <w:sz w:val="24"/>
        </w:rPr>
      </w:pPr>
      <w:r w:rsidRPr="007A020B">
        <w:rPr>
          <w:sz w:val="24"/>
        </w:rPr>
        <w:t>P 48.  … we believe that NERC’s position as overseer of Bulk-Power System reliability provides a level of assurance that it will take compliance seriously.  Moreover, section 215(e)(5) of the FPA provides that the Commission may take such action as is necessary or appropriate against the ERO or a regional entity to ensure compliance with a Reliability Standard or Commission order.</w:t>
      </w:r>
    </w:p>
    <w:p w:rsidR="004204C9" w:rsidRDefault="004204C9" w:rsidP="0078439E">
      <w:pPr>
        <w:pStyle w:val="FERCparanumber"/>
        <w:numPr>
          <w:ilvl w:val="0"/>
          <w:numId w:val="0"/>
        </w:numPr>
        <w:spacing w:after="0"/>
        <w:rPr>
          <w:sz w:val="24"/>
        </w:rPr>
      </w:pPr>
    </w:p>
    <w:p w:rsidR="007A020B" w:rsidRDefault="007A020B" w:rsidP="0078439E">
      <w:pPr>
        <w:pStyle w:val="FERCparanumber"/>
        <w:numPr>
          <w:ilvl w:val="0"/>
          <w:numId w:val="0"/>
        </w:numPr>
        <w:spacing w:after="0"/>
        <w:rPr>
          <w:sz w:val="24"/>
        </w:rPr>
      </w:pPr>
      <w:r w:rsidRPr="007A020B">
        <w:rPr>
          <w:sz w:val="24"/>
        </w:rPr>
        <w:t>P 49.  The Commission also adopts its CIP NOPR approach and concludes that reliance on the NERC registration process at this time is an appropriate means of identifying the entities that must comply with the CIP Reliability Standards.  We are concerned … that some small entities that are not identified in the NERC registry may become gateways for cyber attacks.  However, we are not prepared to adopt [the] … approach of requiring that any entity connected to the Bulk-Power System, regardless of size, must comply with the CIP Reliability Standards irrespective of the NERC registry.  We believe this approach is overly-expansive and may raise jurisdictional issues.  Rather, we rely on NERC and the Regional Entities to be vigilant in assuring that all appropriate entities are registered to ensure the security of the Bulk-Power System.</w:t>
      </w:r>
    </w:p>
    <w:p w:rsidR="004204C9" w:rsidRPr="007A020B" w:rsidRDefault="004204C9" w:rsidP="0078439E">
      <w:pPr>
        <w:pStyle w:val="FERCparanumber"/>
        <w:numPr>
          <w:ilvl w:val="0"/>
          <w:numId w:val="0"/>
        </w:numPr>
        <w:spacing w:after="0"/>
        <w:rPr>
          <w:sz w:val="24"/>
        </w:rPr>
      </w:pPr>
    </w:p>
    <w:p w:rsidR="007A020B" w:rsidRDefault="007A020B" w:rsidP="0078439E">
      <w:pPr>
        <w:pStyle w:val="FERCparanumber"/>
        <w:numPr>
          <w:ilvl w:val="0"/>
          <w:numId w:val="0"/>
        </w:numPr>
        <w:spacing w:after="0"/>
        <w:rPr>
          <w:sz w:val="24"/>
        </w:rPr>
      </w:pPr>
      <w:r w:rsidRPr="007A020B">
        <w:rPr>
          <w:sz w:val="24"/>
        </w:rPr>
        <w:t xml:space="preserve">P 50.  … the NERC registry process is designed to identify and register entities for compliance with Reliability Standards, and not identify lists of assets.  In the CIP NOPR, the Commission explained that it would expect NERC to register the owner or operator of an important asset, such as a blackstart unit, even though the facility may be relatively small or connected at low voltage.  While the facility would not be registered or listed through the registration process, NERC’s or a Regional Entity’s awareness of the critical asset may reasonably result in the registration of the owner or operator of the facility.  </w:t>
      </w:r>
    </w:p>
    <w:p w:rsidR="00453D18" w:rsidRPr="007A020B" w:rsidRDefault="00453D18" w:rsidP="0078439E">
      <w:pPr>
        <w:pStyle w:val="FERCparanumber"/>
        <w:numPr>
          <w:ilvl w:val="0"/>
          <w:numId w:val="0"/>
        </w:numPr>
        <w:spacing w:after="0"/>
        <w:rPr>
          <w:sz w:val="24"/>
        </w:rPr>
      </w:pPr>
    </w:p>
    <w:p w:rsidR="007A020B" w:rsidRDefault="007A020B" w:rsidP="0078439E">
      <w:pPr>
        <w:pStyle w:val="FERCparanumber"/>
        <w:numPr>
          <w:ilvl w:val="0"/>
          <w:numId w:val="0"/>
        </w:numPr>
        <w:spacing w:after="0"/>
        <w:rPr>
          <w:sz w:val="24"/>
        </w:rPr>
      </w:pPr>
      <w:r w:rsidRPr="007A020B">
        <w:rPr>
          <w:sz w:val="24"/>
        </w:rPr>
        <w:t>P 51.  Likewise, we believe that NERC should register demand side aggregators if the loss of their load shedding capability, for reasons such as a cyber incident, would affect the reliability or operability of the Bulk-Power System.  EEI and ISO/RTO Council concur that the need for the registration of demand side aggregators may arise, but state that it is not clear whether aggregators fit any of the current registration categories defined by NERC.  We agree with EEI and ISO/RTO Council that NERC should consider whether there is a current need to register demand side aggregators and, if so, to address any related issues and develop criteria for their registration.</w:t>
      </w:r>
    </w:p>
    <w:p w:rsidR="00453D18" w:rsidRPr="007A020B" w:rsidRDefault="00453D18" w:rsidP="0078439E">
      <w:pPr>
        <w:pStyle w:val="FERCparanumber"/>
        <w:numPr>
          <w:ilvl w:val="0"/>
          <w:numId w:val="0"/>
        </w:numPr>
        <w:spacing w:after="0"/>
        <w:rPr>
          <w:sz w:val="24"/>
        </w:rPr>
      </w:pPr>
    </w:p>
    <w:p w:rsidR="007A020B" w:rsidRPr="007A020B" w:rsidRDefault="007A020B" w:rsidP="0078439E">
      <w:pPr>
        <w:pStyle w:val="FERCparanumber"/>
        <w:numPr>
          <w:ilvl w:val="0"/>
          <w:numId w:val="0"/>
        </w:numPr>
        <w:spacing w:after="0"/>
        <w:rPr>
          <w:sz w:val="24"/>
        </w:rPr>
      </w:pPr>
      <w:r w:rsidRPr="007A020B">
        <w:rPr>
          <w:sz w:val="24"/>
        </w:rPr>
        <w:t>P 52.  The Commission agrees with the many commenters that suggest that the responsibility of a third-party vendor for compliance with the CIP Reliability Standards is a matter that should be addressed in contracts between the registered entity that is responsible for mandatory compliance with the Standards and its vendor.  To the extent that the responsible entity makes a business decision to hire an outside contractor to perform services for it, the responsible entity remains responsible for compliance with the relevant Reliability Standards.  Thus, it is incumbent upon the responsible entity to assure that its third-party vendor acts in compliance with the CIP Reliability Standards.  We agree with ISO/RTO Council’s characterization of the matter:</w:t>
      </w:r>
    </w:p>
    <w:p w:rsidR="007A020B" w:rsidRPr="007A020B" w:rsidRDefault="007A020B" w:rsidP="0078439E">
      <w:pPr>
        <w:pStyle w:val="FERCparanumber"/>
        <w:widowControl w:val="0"/>
        <w:numPr>
          <w:ilvl w:val="0"/>
          <w:numId w:val="0"/>
        </w:numPr>
        <w:spacing w:after="0"/>
        <w:ind w:left="720" w:right="720"/>
        <w:rPr>
          <w:sz w:val="24"/>
        </w:rPr>
      </w:pPr>
      <w:r w:rsidRPr="007A020B">
        <w:rPr>
          <w:sz w:val="24"/>
        </w:rPr>
        <w:t>. . . when an application is developed and maintained by an outsourced provider, that outsourced provider manages physical and cyber access to the environment on which the application runs and therefore must be contractually obligated to the Responsible Entity to comply with the Reliability Standards.</w:t>
      </w:r>
    </w:p>
    <w:p w:rsidR="007A020B" w:rsidRDefault="007A020B" w:rsidP="0078439E">
      <w:pPr>
        <w:pStyle w:val="FERCparanumber"/>
        <w:widowControl w:val="0"/>
        <w:numPr>
          <w:ilvl w:val="0"/>
          <w:numId w:val="0"/>
        </w:numPr>
        <w:spacing w:after="0"/>
        <w:ind w:left="720" w:right="720"/>
        <w:rPr>
          <w:sz w:val="24"/>
        </w:rPr>
      </w:pPr>
      <w:r w:rsidRPr="007A020B">
        <w:rPr>
          <w:sz w:val="24"/>
        </w:rPr>
        <w:t>While such providers are not registered entities subject to the Reliability Standards, they must perform the services and operate the applications in a manner consistent with the Reliability Standards. . . the Responsible Entity should be charged with incorporating contractual terms and conditions into agreements with third-party service providers that obligate the providers to comply with the requirements of the Reliability Standards.  In that regard, if a Responsible Entity determines that it is necessary to outsource a service that is essential to the reliable operation of a Critical Asset, Critical Cyber Asset, or the bulk electric system, it is clear that the Responsible Entity must be held responsible and accountable for compliance with the Reliability Standards.</w:t>
      </w:r>
    </w:p>
    <w:p w:rsidR="00453D18" w:rsidRPr="007A020B" w:rsidRDefault="00453D18" w:rsidP="0078439E">
      <w:pPr>
        <w:pStyle w:val="FERCparanumber"/>
        <w:widowControl w:val="0"/>
        <w:numPr>
          <w:ilvl w:val="0"/>
          <w:numId w:val="0"/>
        </w:numPr>
        <w:spacing w:after="0"/>
        <w:ind w:left="720" w:right="720"/>
        <w:rPr>
          <w:sz w:val="24"/>
        </w:rPr>
      </w:pPr>
    </w:p>
    <w:p w:rsidR="007A020B" w:rsidRPr="007A020B" w:rsidRDefault="007A020B" w:rsidP="0078439E">
      <w:pPr>
        <w:pStyle w:val="FERCparanumber"/>
        <w:numPr>
          <w:ilvl w:val="0"/>
          <w:numId w:val="0"/>
        </w:numPr>
        <w:spacing w:after="0"/>
        <w:rPr>
          <w:sz w:val="24"/>
        </w:rPr>
      </w:pPr>
      <w:r w:rsidRPr="007A020B">
        <w:rPr>
          <w:sz w:val="24"/>
        </w:rPr>
        <w:t>P 53.  Further, it is incumbent upon a responsible entity to conduct vigorous oversight of the activities and procedures followed by the vendors they employ.  Thus, we expect a responsible entity to address in its security policy under CIP-003-1 its policies regarding its oversight of third-party vendors.</w:t>
      </w:r>
    </w:p>
    <w:p w:rsidR="004204C9" w:rsidRDefault="004204C9" w:rsidP="0078439E">
      <w:pPr>
        <w:pStyle w:val="FERCparanumber"/>
        <w:numPr>
          <w:ilvl w:val="0"/>
          <w:numId w:val="0"/>
        </w:numPr>
        <w:spacing w:after="0"/>
        <w:rPr>
          <w:sz w:val="24"/>
        </w:rPr>
      </w:pPr>
    </w:p>
    <w:p w:rsidR="007A020B" w:rsidRDefault="007A020B" w:rsidP="0078439E">
      <w:pPr>
        <w:pStyle w:val="FERCparanumber"/>
        <w:numPr>
          <w:ilvl w:val="0"/>
          <w:numId w:val="0"/>
        </w:numPr>
        <w:spacing w:after="0"/>
        <w:rPr>
          <w:sz w:val="24"/>
        </w:rPr>
      </w:pPr>
      <w:r w:rsidRPr="007A020B">
        <w:rPr>
          <w:sz w:val="24"/>
        </w:rPr>
        <w:t xml:space="preserve">P 86.  The Commission adopts its CIP NOPR proposal and approves NERC’s implementation plan and time frames for responsible entities to achieve auditable compliance.  Responsible entities require a reasonable period of time to purchase and install new cyber software and equipment and develop new programs and procedures to achieve compliance.  Commenters indicate that the implementation plan provides that reasonable period of time.  Further, we agree with commenters that there is an urgent need to move forward without any delays.  Accordingly, we approve NERC’s implementation plan.     </w:t>
      </w:r>
    </w:p>
    <w:p w:rsidR="00453D18" w:rsidRPr="007A020B" w:rsidRDefault="00453D18" w:rsidP="0078439E">
      <w:pPr>
        <w:pStyle w:val="FERCparanumber"/>
        <w:numPr>
          <w:ilvl w:val="0"/>
          <w:numId w:val="0"/>
        </w:numPr>
        <w:spacing w:after="0"/>
        <w:rPr>
          <w:sz w:val="24"/>
        </w:rPr>
      </w:pPr>
    </w:p>
    <w:p w:rsidR="007A020B" w:rsidRDefault="007A020B" w:rsidP="0078439E">
      <w:pPr>
        <w:pStyle w:val="FERCparanumber"/>
        <w:numPr>
          <w:ilvl w:val="0"/>
          <w:numId w:val="0"/>
        </w:numPr>
        <w:spacing w:after="0"/>
        <w:rPr>
          <w:sz w:val="24"/>
        </w:rPr>
      </w:pPr>
      <w:r w:rsidRPr="007A020B">
        <w:rPr>
          <w:sz w:val="24"/>
        </w:rPr>
        <w:t xml:space="preserve">P 88.  The Commission believes that the modifications to the CIP Reliability Standards developed by the NERC Reliability Standards development process should not be audited prior to the conclusion of the approved implementation plan.  EEI and other commenters claim that commencing the development of such modifications prior to the conclusion of the implementation plan would be discouraging to industry.  The Commission, however, finds that it is unacceptable to delay the development of the modifications directed in this Final Rule until after the conclusion of the implementation plan.  Since it is uncertain how long it will take to develop revised CIP Reliability Standards, we believe it is not reasonable to wait until the 2009-2010 time period for the process to start.  Features such as enhanced conditions on technical feasibility exceptions and oversight of critical asset determinations are too important to the protection of the Bulk-Power System to wait that long.  </w:t>
      </w:r>
    </w:p>
    <w:p w:rsidR="00453D18" w:rsidRPr="007A020B" w:rsidRDefault="00453D18" w:rsidP="0078439E">
      <w:pPr>
        <w:pStyle w:val="FERCparanumber"/>
        <w:numPr>
          <w:ilvl w:val="0"/>
          <w:numId w:val="0"/>
        </w:numPr>
        <w:spacing w:after="0"/>
        <w:rPr>
          <w:sz w:val="24"/>
        </w:rPr>
      </w:pPr>
    </w:p>
    <w:p w:rsidR="007A020B" w:rsidRPr="007A020B" w:rsidRDefault="007A020B" w:rsidP="0078439E">
      <w:pPr>
        <w:pStyle w:val="FERCparanumber"/>
        <w:numPr>
          <w:ilvl w:val="0"/>
          <w:numId w:val="0"/>
        </w:numPr>
        <w:spacing w:after="0"/>
        <w:rPr>
          <w:sz w:val="24"/>
        </w:rPr>
      </w:pPr>
      <w:r w:rsidRPr="007A020B">
        <w:rPr>
          <w:sz w:val="24"/>
        </w:rPr>
        <w:t xml:space="preserve">P 97.  Further, we adopt our CIP NOPR proposals that, while an entity should not be subject to a monetary penalty if it is unable to certify that it is on schedule, such an entity should explain to the ERO the reason it is unable to self-certify.  The ERO and the Regional Entities should then work with such an entity either informally or, if appropriate, by requiring a remedial plan to assist such an entity in achieving full compliance in a timely manner.  Further, we expect the ERO and the Regional Entities to provide informational guidance, upon request, to assist a responsible entity in assessing its progress in reaching “auditably compliant” status.  </w:t>
      </w:r>
    </w:p>
    <w:p w:rsidR="004204C9" w:rsidRDefault="004204C9" w:rsidP="0078439E">
      <w:pPr>
        <w:pStyle w:val="FERCparanumber"/>
        <w:numPr>
          <w:ilvl w:val="0"/>
          <w:numId w:val="0"/>
        </w:numPr>
        <w:spacing w:after="0"/>
        <w:rPr>
          <w:sz w:val="24"/>
        </w:rPr>
      </w:pPr>
    </w:p>
    <w:p w:rsidR="007A020B" w:rsidRDefault="007A020B" w:rsidP="0078439E">
      <w:pPr>
        <w:pStyle w:val="FERCparanumber"/>
        <w:numPr>
          <w:ilvl w:val="0"/>
          <w:numId w:val="0"/>
        </w:numPr>
        <w:spacing w:after="0"/>
        <w:rPr>
          <w:sz w:val="24"/>
        </w:rPr>
      </w:pPr>
      <w:r w:rsidRPr="007A020B">
        <w:rPr>
          <w:sz w:val="24"/>
        </w:rPr>
        <w:t>P 99.  … we clarify that the goal of a Regional Entity working with a responsible entity that is unable to self-certify is to assist the entity in meeting the NERC time frames for auditable compliance, and not to accelerate compliance ahead of schedule.</w:t>
      </w:r>
    </w:p>
    <w:p w:rsidR="00453D18" w:rsidRPr="007A020B" w:rsidRDefault="00453D18" w:rsidP="0078439E">
      <w:pPr>
        <w:pStyle w:val="FERCparanumber"/>
        <w:numPr>
          <w:ilvl w:val="0"/>
          <w:numId w:val="0"/>
        </w:numPr>
        <w:spacing w:after="0"/>
        <w:rPr>
          <w:sz w:val="24"/>
        </w:rPr>
      </w:pPr>
    </w:p>
    <w:p w:rsidR="007A020B" w:rsidRDefault="007A020B" w:rsidP="0078439E">
      <w:pPr>
        <w:pStyle w:val="FERCparanumber"/>
        <w:numPr>
          <w:ilvl w:val="0"/>
          <w:numId w:val="0"/>
        </w:numPr>
        <w:spacing w:after="0"/>
        <w:rPr>
          <w:sz w:val="24"/>
        </w:rPr>
      </w:pPr>
      <w:r w:rsidRPr="007A020B">
        <w:rPr>
          <w:sz w:val="24"/>
        </w:rPr>
        <w:t>P 105.  The Commission is persuaded by comments regarding the limited reach of readiness reviews and the questionable utility of such reviews prior to the date by which entities are to be compliant; thus, adding the CIP Reliability Standards to the readiness reviews at this time will delay industry’s compliance efforts.  Therefore, the Commission will not require that the CIP Reliability Standards be added to the readiness reviews at this time.</w:t>
      </w:r>
    </w:p>
    <w:p w:rsidR="00453D18" w:rsidRPr="007A020B" w:rsidRDefault="00453D18" w:rsidP="0078439E">
      <w:pPr>
        <w:pStyle w:val="FERCparanumber"/>
        <w:numPr>
          <w:ilvl w:val="0"/>
          <w:numId w:val="0"/>
        </w:numPr>
        <w:spacing w:after="0"/>
        <w:rPr>
          <w:sz w:val="24"/>
        </w:rPr>
      </w:pPr>
    </w:p>
    <w:p w:rsidR="007A020B" w:rsidRDefault="007A020B" w:rsidP="0078439E">
      <w:pPr>
        <w:pStyle w:val="FERCparanumber"/>
        <w:numPr>
          <w:ilvl w:val="0"/>
          <w:numId w:val="0"/>
        </w:numPr>
        <w:spacing w:after="0"/>
        <w:rPr>
          <w:sz w:val="24"/>
        </w:rPr>
      </w:pPr>
      <w:r w:rsidRPr="007A020B">
        <w:rPr>
          <w:sz w:val="24"/>
        </w:rPr>
        <w:t xml:space="preserve">P 180.  We agree with NERC and other commenters on the underlying rationale for a technical feasibility exception, i.e., that there is long-life equipment in place that is not readily compatible with a modern environment where cyber security issues are an acknowledged concern.  While equipment replacement will often be appropriate to comply with the CIP Reliability Standards, such as in instances where equipment is near the end of its useful life or when alternative or supplemental security measures are not possible, we acknowledge that the possibility of being required to replace equipment before the end of its useful life is a valid concern.  </w:t>
      </w:r>
    </w:p>
    <w:p w:rsidR="00453D18" w:rsidRPr="007A020B" w:rsidRDefault="00453D18" w:rsidP="0078439E">
      <w:pPr>
        <w:pStyle w:val="FERCparanumber"/>
        <w:numPr>
          <w:ilvl w:val="0"/>
          <w:numId w:val="0"/>
        </w:numPr>
        <w:spacing w:after="0"/>
        <w:rPr>
          <w:sz w:val="24"/>
        </w:rPr>
      </w:pPr>
    </w:p>
    <w:p w:rsidR="007A020B" w:rsidRDefault="007A020B" w:rsidP="0078439E">
      <w:pPr>
        <w:pStyle w:val="FERCparanumber"/>
        <w:numPr>
          <w:ilvl w:val="0"/>
          <w:numId w:val="0"/>
        </w:numPr>
        <w:spacing w:after="0"/>
        <w:rPr>
          <w:sz w:val="24"/>
        </w:rPr>
      </w:pPr>
      <w:r w:rsidRPr="007A020B">
        <w:rPr>
          <w:sz w:val="24"/>
        </w:rPr>
        <w:t xml:space="preserve">P 181.  … The justification presented for technical feasibility exceptions is rooted in the problem of long-life legacy equipment and the economic considerations involved in the replacement of such equipment before the end of its useful life. … The Commission neither assumes that technical infeasibility issues will be present only during the transition period, nor does it assume that on a going forward basis there will be only one single means to comply with the CIP Reliability Standards.  It does assume, however, that all responsible entities eventually will be able to achieve full compliance with the CIP Reliability Standards when the legacy equipment that creates the need for the exception is supplemented, upgraded or replaced. </w:t>
      </w:r>
    </w:p>
    <w:p w:rsidR="00453D18" w:rsidRPr="007A020B" w:rsidRDefault="00453D18" w:rsidP="0078439E">
      <w:pPr>
        <w:pStyle w:val="FERCparanumber"/>
        <w:numPr>
          <w:ilvl w:val="0"/>
          <w:numId w:val="0"/>
        </w:numPr>
        <w:spacing w:after="0"/>
        <w:rPr>
          <w:sz w:val="24"/>
        </w:rPr>
      </w:pPr>
    </w:p>
    <w:p w:rsidR="007A020B" w:rsidRDefault="007A020B" w:rsidP="0078439E">
      <w:pPr>
        <w:pStyle w:val="FERCparanumber"/>
        <w:numPr>
          <w:ilvl w:val="0"/>
          <w:numId w:val="0"/>
        </w:numPr>
        <w:spacing w:after="0"/>
        <w:rPr>
          <w:sz w:val="24"/>
        </w:rPr>
      </w:pPr>
      <w:r w:rsidRPr="007A020B">
        <w:rPr>
          <w:sz w:val="24"/>
        </w:rPr>
        <w:t xml:space="preserve">P 182.  The Commission agrees with various commenters that the implementation of the CIP Reliability Standards should not be permitted to have an adverse effect on reliability and that proper implementation requires that care be taken to avoid unintended consequences.  We thus believe it is important to clarify that the meaning of “technical feasibility” should not be limited simply to whether something is technically possible but also whether it is technically safe and operationally reasonable.  </w:t>
      </w:r>
    </w:p>
    <w:p w:rsidR="00453D18" w:rsidRPr="007A020B" w:rsidRDefault="00453D18" w:rsidP="0078439E">
      <w:pPr>
        <w:pStyle w:val="FERCparanumber"/>
        <w:numPr>
          <w:ilvl w:val="0"/>
          <w:numId w:val="0"/>
        </w:numPr>
        <w:spacing w:after="0"/>
        <w:rPr>
          <w:sz w:val="24"/>
        </w:rPr>
      </w:pPr>
    </w:p>
    <w:p w:rsidR="007A020B" w:rsidRDefault="007A020B" w:rsidP="0078439E">
      <w:pPr>
        <w:pStyle w:val="FERCparanumber"/>
        <w:numPr>
          <w:ilvl w:val="0"/>
          <w:numId w:val="0"/>
        </w:numPr>
        <w:spacing w:after="0"/>
        <w:rPr>
          <w:sz w:val="24"/>
        </w:rPr>
      </w:pPr>
      <w:r w:rsidRPr="007A020B">
        <w:rPr>
          <w:sz w:val="24"/>
        </w:rPr>
        <w:t xml:space="preserve">P 186.  Based on the above considerations, the Commission adopts its proposal in the CIP NOPR that technical feasibility exceptions may be permitted if appropriate conditions are in place.  The term technical feasibility should be interpreted narrowly to not include considerations of business judgment, but we agree with commenters that it should include operational and safety considerations.  </w:t>
      </w:r>
    </w:p>
    <w:p w:rsidR="00453D18" w:rsidRPr="007A020B" w:rsidRDefault="00453D18" w:rsidP="0078439E">
      <w:pPr>
        <w:pStyle w:val="FERCparanumber"/>
        <w:numPr>
          <w:ilvl w:val="0"/>
          <w:numId w:val="0"/>
        </w:numPr>
        <w:spacing w:after="0"/>
        <w:rPr>
          <w:sz w:val="24"/>
        </w:rPr>
      </w:pPr>
    </w:p>
    <w:p w:rsidR="007A020B" w:rsidRDefault="007A020B" w:rsidP="0078439E">
      <w:pPr>
        <w:pStyle w:val="FERCparanumber"/>
        <w:numPr>
          <w:ilvl w:val="0"/>
          <w:numId w:val="0"/>
        </w:numPr>
        <w:spacing w:after="0"/>
        <w:rPr>
          <w:sz w:val="24"/>
        </w:rPr>
      </w:pPr>
      <w:r w:rsidRPr="007A020B">
        <w:rPr>
          <w:sz w:val="24"/>
        </w:rPr>
        <w:t xml:space="preserve">P 192.  With some minor refinements discussed below, the Commission adopts the CIP NOPR proposal for a three step structure to require accountability when a responsible entity relies on technical feasibility as the basis for an exception. …  </w:t>
      </w:r>
    </w:p>
    <w:p w:rsidR="00453D18" w:rsidRPr="007A020B" w:rsidRDefault="00453D18" w:rsidP="0078439E">
      <w:pPr>
        <w:pStyle w:val="FERCparanumber"/>
        <w:numPr>
          <w:ilvl w:val="0"/>
          <w:numId w:val="0"/>
        </w:numPr>
        <w:spacing w:after="0"/>
        <w:rPr>
          <w:sz w:val="24"/>
        </w:rPr>
      </w:pPr>
    </w:p>
    <w:p w:rsidR="007A020B" w:rsidRDefault="007A020B" w:rsidP="0078439E">
      <w:pPr>
        <w:pStyle w:val="FERCparanumber"/>
        <w:numPr>
          <w:ilvl w:val="0"/>
          <w:numId w:val="0"/>
        </w:numPr>
        <w:spacing w:after="0"/>
        <w:rPr>
          <w:sz w:val="24"/>
        </w:rPr>
      </w:pPr>
      <w:r w:rsidRPr="007A020B">
        <w:rPr>
          <w:sz w:val="24"/>
        </w:rPr>
        <w:t xml:space="preserve">P 193.  We also agree … that in some instances remediation can be required only to the extent possible.  For example, in some cases it may never be possible to enclose certain critical cyber assets within a six-sided physical boundary as required under CIP-006-1.  However, such cases need to be sufficiently justified, the mitigation strategies must be ongoing and effective, and the justification must be subject to periodic review.  We also are mindful that accelerated replacement of equipment can be economically wasteful where security is not otherwise compromised.  We thus agree … that where mitigation measures are as or more effective than compliance, and in the case of minor technical or administrative requirements, replacement of certain assets before the end of their useful lives can be wasteful and inefficient.  We also agree with SPP that remediation might not be necessary where compensating measures are equally effective in reducing risk.  However, such cases must be subject to clear criteria and periodic review and, where necessary, updates.  </w:t>
      </w:r>
    </w:p>
    <w:p w:rsidR="00453D18" w:rsidRPr="007A020B" w:rsidRDefault="00453D18" w:rsidP="0078439E">
      <w:pPr>
        <w:pStyle w:val="FERCparanumber"/>
        <w:numPr>
          <w:ilvl w:val="0"/>
          <w:numId w:val="0"/>
        </w:numPr>
        <w:spacing w:after="0"/>
        <w:rPr>
          <w:sz w:val="24"/>
        </w:rPr>
      </w:pPr>
    </w:p>
    <w:p w:rsidR="007A020B" w:rsidRDefault="007A020B" w:rsidP="0078439E">
      <w:pPr>
        <w:pStyle w:val="FERCparanumber"/>
        <w:numPr>
          <w:ilvl w:val="0"/>
          <w:numId w:val="0"/>
        </w:numPr>
        <w:spacing w:after="0"/>
        <w:rPr>
          <w:sz w:val="24"/>
        </w:rPr>
      </w:pPr>
      <w:r w:rsidRPr="007A020B">
        <w:rPr>
          <w:sz w:val="24"/>
        </w:rPr>
        <w:t xml:space="preserve">P 194.  However, in adopting this approach, we do not intend to suggest that it would never be necessary to replace equipment before the end of its useful life to achieve cyber security goals.  Where equipment is near the end of its useful life or if insufficient mitigation measures are available, the equipment should be replaced.  However, such situations must be dealt with on a case-by-case basis.  We emphasize that responsible entities must protect assets that are critical to the reliable operation of the Bulk-Power System.  </w:t>
      </w:r>
    </w:p>
    <w:p w:rsidR="00453D18" w:rsidRPr="007A020B" w:rsidRDefault="00453D18" w:rsidP="0078439E">
      <w:pPr>
        <w:pStyle w:val="FERCparanumber"/>
        <w:numPr>
          <w:ilvl w:val="0"/>
          <w:numId w:val="0"/>
        </w:numPr>
        <w:spacing w:after="0"/>
        <w:rPr>
          <w:sz w:val="24"/>
        </w:rPr>
      </w:pPr>
    </w:p>
    <w:p w:rsidR="007A020B" w:rsidRDefault="007A020B" w:rsidP="0078439E">
      <w:pPr>
        <w:pStyle w:val="FERCparanumber"/>
        <w:numPr>
          <w:ilvl w:val="0"/>
          <w:numId w:val="0"/>
        </w:numPr>
        <w:spacing w:after="0"/>
        <w:rPr>
          <w:sz w:val="24"/>
        </w:rPr>
      </w:pPr>
      <w:r w:rsidRPr="007A020B">
        <w:rPr>
          <w:sz w:val="24"/>
        </w:rPr>
        <w:t xml:space="preserve">P 209.  For the reasons discussed below, the Commission concludes that technical feasibility exceptions should be reported and justified and subject to approval by the ERO or the relevant Regional Entity.  The Commission thus adopts its CIP NOPR proposal that use and implementation of technical feasibility exceptions must be governed by a clear set of criteria.  However, because we are persuaded by the commenters, we have modified certain elements of our original proposal, as discussed below. </w:t>
      </w:r>
    </w:p>
    <w:p w:rsidR="00453D18" w:rsidRPr="007A020B" w:rsidRDefault="00453D18" w:rsidP="0078439E">
      <w:pPr>
        <w:pStyle w:val="FERCparanumber"/>
        <w:numPr>
          <w:ilvl w:val="0"/>
          <w:numId w:val="0"/>
        </w:numPr>
        <w:spacing w:after="0"/>
        <w:rPr>
          <w:sz w:val="24"/>
        </w:rPr>
      </w:pPr>
    </w:p>
    <w:p w:rsidR="007A020B" w:rsidRDefault="007A020B" w:rsidP="0078439E">
      <w:pPr>
        <w:pStyle w:val="FERCparanumber"/>
        <w:numPr>
          <w:ilvl w:val="0"/>
          <w:numId w:val="0"/>
        </w:numPr>
        <w:spacing w:after="0"/>
        <w:rPr>
          <w:sz w:val="24"/>
        </w:rPr>
      </w:pPr>
      <w:r w:rsidRPr="007A020B">
        <w:rPr>
          <w:sz w:val="24"/>
        </w:rPr>
        <w:t>P 211.  With regard to the senior management approval, we continue to believe that internal approval is an important component of an overall framework of accountability with regard to use of the technical feasibility exception.  Therefore, we adopt this aspect of our CIP N</w:t>
      </w:r>
      <w:r w:rsidR="000008D1">
        <w:rPr>
          <w:sz w:val="24"/>
        </w:rPr>
        <w:t>O</w:t>
      </w:r>
      <w:r w:rsidRPr="007A020B">
        <w:rPr>
          <w:sz w:val="24"/>
        </w:rPr>
        <w:t>PR proposal</w:t>
      </w:r>
      <w:r w:rsidR="00C93549">
        <w:rPr>
          <w:sz w:val="24"/>
        </w:rPr>
        <w:t xml:space="preserve">. ... </w:t>
      </w:r>
    </w:p>
    <w:p w:rsidR="00453D18" w:rsidRPr="007A020B" w:rsidRDefault="00453D18" w:rsidP="0078439E">
      <w:pPr>
        <w:pStyle w:val="FERCparanumber"/>
        <w:numPr>
          <w:ilvl w:val="0"/>
          <w:numId w:val="0"/>
        </w:numPr>
        <w:spacing w:after="0"/>
        <w:rPr>
          <w:sz w:val="24"/>
        </w:rPr>
      </w:pPr>
    </w:p>
    <w:p w:rsidR="007A020B" w:rsidRDefault="007A020B" w:rsidP="0078439E">
      <w:pPr>
        <w:pStyle w:val="FERCparanumber"/>
        <w:numPr>
          <w:ilvl w:val="0"/>
          <w:numId w:val="0"/>
        </w:numPr>
        <w:spacing w:after="0"/>
        <w:rPr>
          <w:sz w:val="24"/>
        </w:rPr>
      </w:pPr>
      <w:r w:rsidRPr="007A020B">
        <w:rPr>
          <w:sz w:val="24"/>
        </w:rPr>
        <w:t xml:space="preserve">P 213.  The Commission agrees … that Regional Entities should, in the first instance, receive and catalogue notices of technical feasibility exceptions that are claimed.  Such notices must include estimates of the degree to which mitigation measures achieve the goals set by a CIP Reliability Standard and be in sufficient detail to allow verification of whether reliance on exceptions (or the associated mitigation measures) adequately maintains reliability and does not create reliability issues for neighboring systems.  Initial submission of notices should be provided by responsible entities at least by the “Compliant” stage of implementation in order to allow Regional Entities to plan for auditing exceptions, as described in more detail below.  </w:t>
      </w:r>
    </w:p>
    <w:p w:rsidR="00453D18" w:rsidRPr="007A020B" w:rsidRDefault="00453D18" w:rsidP="0078439E">
      <w:pPr>
        <w:pStyle w:val="FERCparanumber"/>
        <w:numPr>
          <w:ilvl w:val="0"/>
          <w:numId w:val="0"/>
        </w:numPr>
        <w:spacing w:after="0"/>
        <w:rPr>
          <w:sz w:val="24"/>
        </w:rPr>
      </w:pPr>
    </w:p>
    <w:p w:rsidR="007A020B" w:rsidRDefault="007A020B" w:rsidP="0078439E">
      <w:pPr>
        <w:pStyle w:val="FERCparanumber"/>
        <w:numPr>
          <w:ilvl w:val="0"/>
          <w:numId w:val="0"/>
        </w:numPr>
        <w:spacing w:after="0"/>
        <w:rPr>
          <w:sz w:val="24"/>
        </w:rPr>
      </w:pPr>
      <w:r w:rsidRPr="007A020B">
        <w:rPr>
          <w:sz w:val="24"/>
        </w:rPr>
        <w:t>P 214.  The Commission also agrees … that actual evaluation and approval of technical feasibility exceptions should be performed in the first instance in the audit process.  This would allow assessment of exceptions within their specific context and thus facilitate greater understanding in evaluating individual exceptions, as well as related mitigation steps and remediation plans.  This also would increase the amount of sensitive information that remains on-site and reduces the risk of improper disclosure.  In addition, it will allow the ERO and Regional Entities, informed by the initial notices discussed above, to include personnel in audit teams with sufficient expertise to judge the need for a technical feasibility exception and the sufficiency of preferred mitigation measures.</w:t>
      </w:r>
    </w:p>
    <w:p w:rsidR="00453D18" w:rsidRPr="007A020B" w:rsidRDefault="00453D18" w:rsidP="0078439E">
      <w:pPr>
        <w:pStyle w:val="FERCparanumber"/>
        <w:numPr>
          <w:ilvl w:val="0"/>
          <w:numId w:val="0"/>
        </w:numPr>
        <w:spacing w:after="0"/>
        <w:rPr>
          <w:sz w:val="24"/>
        </w:rPr>
      </w:pPr>
    </w:p>
    <w:p w:rsidR="007A020B" w:rsidRDefault="007A020B" w:rsidP="0078439E">
      <w:pPr>
        <w:pStyle w:val="FERCparanumber"/>
        <w:numPr>
          <w:ilvl w:val="0"/>
          <w:numId w:val="0"/>
        </w:numPr>
        <w:spacing w:after="0"/>
        <w:rPr>
          <w:sz w:val="24"/>
        </w:rPr>
      </w:pPr>
      <w:r w:rsidRPr="007A020B">
        <w:rPr>
          <w:sz w:val="24"/>
        </w:rPr>
        <w:t>P 215.  Given the significance of technical feasibility exceptions, the Commission believes that initial audits of technical feasibility exceptions should be expedited, i.e., performed earlier than otherwise, including moving the audit to an earlier year.  Also, in general, responsible entities claiming such exceptions should receive higher priority when determining which entities to audit, and the more exceptions an entity has, the higher the priority for audit should be.  Further, NERC may provide an appeals process for the review of technical feasibility exceptions, if it determines that this is appropriate.</w:t>
      </w:r>
    </w:p>
    <w:p w:rsidR="00453D18" w:rsidRPr="007A020B" w:rsidRDefault="00453D18" w:rsidP="0078439E">
      <w:pPr>
        <w:pStyle w:val="FERCparanumber"/>
        <w:numPr>
          <w:ilvl w:val="0"/>
          <w:numId w:val="0"/>
        </w:numPr>
        <w:spacing w:after="0"/>
        <w:rPr>
          <w:sz w:val="24"/>
        </w:rPr>
      </w:pPr>
    </w:p>
    <w:p w:rsidR="007A020B" w:rsidRDefault="007A020B" w:rsidP="0078439E">
      <w:pPr>
        <w:pStyle w:val="FERCparanumber"/>
        <w:numPr>
          <w:ilvl w:val="0"/>
          <w:numId w:val="0"/>
        </w:numPr>
        <w:spacing w:after="0"/>
        <w:rPr>
          <w:sz w:val="24"/>
        </w:rPr>
      </w:pPr>
      <w:r w:rsidRPr="007A020B">
        <w:rPr>
          <w:sz w:val="24"/>
        </w:rPr>
        <w:t xml:space="preserve">P 216.  However, the Commission notes that the audit process is a Regional Entity and ERO process, and audit team findings regarding exceptions are subject to Regional Entity and ERO review.  The Commission believes that the audit report should form the basis for ERO or Regional Entity approval of individual exceptions.  Approval thus represents a determination on compliance with the applicable CIP Reliability Standards, and we disagree with the ISO/RTO Council that approval of technical feasibility exceptions raises any conflict of interest or due process concerns.  The proposed procedures raise no special issues in this respect.  </w:t>
      </w:r>
    </w:p>
    <w:p w:rsidR="00453D18" w:rsidRPr="007A020B" w:rsidRDefault="00453D18" w:rsidP="0078439E">
      <w:pPr>
        <w:pStyle w:val="FERCparanumber"/>
        <w:numPr>
          <w:ilvl w:val="0"/>
          <w:numId w:val="0"/>
        </w:numPr>
        <w:spacing w:after="0"/>
        <w:rPr>
          <w:sz w:val="24"/>
        </w:rPr>
      </w:pPr>
    </w:p>
    <w:p w:rsidR="007A020B" w:rsidRDefault="007A020B" w:rsidP="0078439E">
      <w:pPr>
        <w:pStyle w:val="FERCparanumber"/>
        <w:numPr>
          <w:ilvl w:val="0"/>
          <w:numId w:val="0"/>
        </w:numPr>
        <w:spacing w:after="0"/>
        <w:rPr>
          <w:sz w:val="24"/>
        </w:rPr>
      </w:pPr>
      <w:r w:rsidRPr="007A020B">
        <w:rPr>
          <w:sz w:val="24"/>
        </w:rPr>
        <w:t xml:space="preserve">P 217.  We agree … that approvals and potential appeals should not be allowed to delay implementation, but we believe our revised proposal resolves this problem.  We also agree … that responsible entities should be able to rely on a technical feasibility exception prior to formal approval.  </w:t>
      </w:r>
    </w:p>
    <w:p w:rsidR="00453D18" w:rsidRPr="007A020B" w:rsidRDefault="00453D18" w:rsidP="0078439E">
      <w:pPr>
        <w:pStyle w:val="FERCparanumber"/>
        <w:numPr>
          <w:ilvl w:val="0"/>
          <w:numId w:val="0"/>
        </w:numPr>
        <w:spacing w:after="0"/>
        <w:rPr>
          <w:sz w:val="24"/>
        </w:rPr>
      </w:pPr>
    </w:p>
    <w:p w:rsidR="007A020B" w:rsidRDefault="007A020B" w:rsidP="0078439E">
      <w:pPr>
        <w:pStyle w:val="FERCparanumber"/>
        <w:numPr>
          <w:ilvl w:val="0"/>
          <w:numId w:val="0"/>
        </w:numPr>
        <w:spacing w:after="0"/>
        <w:rPr>
          <w:sz w:val="24"/>
        </w:rPr>
      </w:pPr>
      <w:r w:rsidRPr="007A020B">
        <w:rPr>
          <w:sz w:val="24"/>
        </w:rPr>
        <w:t xml:space="preserve">P 219.  We agree with comments emphasizing the importance of protecting sensitive information relating to technical feasibility exceptions.  We agree … that CEII treatment should be available for any such information.  … we agree that a governmental entity subject to FOIA requirements should not be required to submit sensitive information about critical assets or critical cyber assets that could be deemed a waiver of FOIA protection that is otherwise available.  Nonetheless, a governmental entity’s decision to rely on a technical feasibility exception should also be subject to appropriate oversight and accountability. … </w:t>
      </w:r>
    </w:p>
    <w:p w:rsidR="004204C9" w:rsidRDefault="004204C9" w:rsidP="0078439E">
      <w:pPr>
        <w:pStyle w:val="FERCparanumber"/>
        <w:numPr>
          <w:ilvl w:val="0"/>
          <w:numId w:val="0"/>
        </w:numPr>
        <w:spacing w:after="0"/>
        <w:rPr>
          <w:sz w:val="24"/>
        </w:rPr>
      </w:pPr>
    </w:p>
    <w:p w:rsidR="00453D18" w:rsidRPr="007A020B" w:rsidRDefault="00453D18" w:rsidP="0078439E">
      <w:pPr>
        <w:pStyle w:val="FERCparanumber"/>
        <w:numPr>
          <w:ilvl w:val="0"/>
          <w:numId w:val="0"/>
        </w:numPr>
        <w:spacing w:after="0"/>
        <w:rPr>
          <w:sz w:val="24"/>
        </w:rPr>
      </w:pPr>
    </w:p>
    <w:p w:rsidR="007A020B" w:rsidRPr="007A020B" w:rsidRDefault="007A020B" w:rsidP="0078439E">
      <w:pPr>
        <w:pStyle w:val="FERCparanumber"/>
        <w:numPr>
          <w:ilvl w:val="0"/>
          <w:numId w:val="0"/>
        </w:numPr>
        <w:spacing w:after="0"/>
        <w:rPr>
          <w:b/>
          <w:sz w:val="24"/>
        </w:rPr>
      </w:pPr>
      <w:r w:rsidRPr="007A020B">
        <w:rPr>
          <w:b/>
          <w:sz w:val="24"/>
        </w:rPr>
        <w:t>CIP-002-1</w:t>
      </w:r>
    </w:p>
    <w:p w:rsidR="004204C9" w:rsidRDefault="004204C9" w:rsidP="0078439E">
      <w:pPr>
        <w:rPr>
          <w:rFonts w:ascii="Times New Roman" w:hAnsi="Times New Roman" w:cs="Times New Roman"/>
          <w:sz w:val="24"/>
          <w:szCs w:val="24"/>
        </w:rPr>
      </w:pPr>
    </w:p>
    <w:p w:rsidR="007A020B" w:rsidRPr="007A020B" w:rsidRDefault="007A020B" w:rsidP="0078439E">
      <w:pPr>
        <w:rPr>
          <w:rFonts w:ascii="Times New Roman" w:hAnsi="Times New Roman" w:cs="Times New Roman"/>
          <w:sz w:val="24"/>
          <w:szCs w:val="24"/>
        </w:rPr>
      </w:pPr>
      <w:r w:rsidRPr="007A020B">
        <w:rPr>
          <w:rFonts w:ascii="Times New Roman" w:hAnsi="Times New Roman" w:cs="Times New Roman"/>
          <w:sz w:val="24"/>
          <w:szCs w:val="24"/>
        </w:rPr>
        <w:t>P 234.  Reliability Standard CIP-002-1 deals with the identification of critical cyber assets. The NERC Glossary defines “cyber assets” as “programmable electronic devices and communication networks including hardware, software, and data.” It defines “critical cyber assets” as “cyber assets essential to the reliable operation of critical assets.” NERC defines “critical assets” as “facilities, systems, and equipment which, if destroyed, degraded, or otherwise rendered unavailable, would affect the reliability or operability of the Bulk Electric System.”</w:t>
      </w:r>
      <w:r w:rsidRPr="007A020B">
        <w:rPr>
          <w:rFonts w:ascii="Times New Roman" w:hAnsi="Times New Roman" w:cs="Times New Roman"/>
          <w:b/>
          <w:bCs/>
          <w:sz w:val="24"/>
          <w:szCs w:val="24"/>
        </w:rPr>
        <w:t xml:space="preserve"> </w:t>
      </w:r>
      <w:r w:rsidRPr="007A020B">
        <w:rPr>
          <w:rFonts w:ascii="Times New Roman" w:hAnsi="Times New Roman" w:cs="Times New Roman"/>
          <w:sz w:val="24"/>
          <w:szCs w:val="24"/>
        </w:rPr>
        <w:t>The accurate identification of critical assets and critical cyber assets pursuant to CIP-002-1 is the cornerstone of the CIP Reliability Standards because it acts as a filter, determining whether a responsible entity must comply with the remaining CIP requirements in CIP-003-1 through CIP-009-1.</w:t>
      </w:r>
    </w:p>
    <w:p w:rsidR="007A020B" w:rsidRPr="007A020B" w:rsidRDefault="007A020B" w:rsidP="0078439E">
      <w:pPr>
        <w:rPr>
          <w:rFonts w:ascii="Times New Roman" w:hAnsi="Times New Roman" w:cs="Times New Roman"/>
          <w:sz w:val="24"/>
          <w:szCs w:val="24"/>
        </w:rPr>
      </w:pPr>
    </w:p>
    <w:p w:rsidR="007A020B" w:rsidRPr="007A020B" w:rsidRDefault="007A020B" w:rsidP="0078439E">
      <w:pPr>
        <w:rPr>
          <w:rFonts w:ascii="Times New Roman" w:hAnsi="Times New Roman" w:cs="Times New Roman"/>
          <w:sz w:val="24"/>
          <w:szCs w:val="24"/>
        </w:rPr>
      </w:pPr>
      <w:r w:rsidRPr="007A020B">
        <w:rPr>
          <w:rFonts w:ascii="Times New Roman" w:hAnsi="Times New Roman" w:cs="Times New Roman"/>
          <w:sz w:val="24"/>
          <w:szCs w:val="24"/>
        </w:rPr>
        <w:t>P 235.  As the first step in identifying critical cyber assets, CIP-002-1 requires each</w:t>
      </w:r>
    </w:p>
    <w:p w:rsidR="007A020B" w:rsidRPr="007A020B" w:rsidRDefault="007A020B" w:rsidP="0078439E">
      <w:pPr>
        <w:rPr>
          <w:rFonts w:ascii="Times New Roman" w:hAnsi="Times New Roman" w:cs="Times New Roman"/>
          <w:sz w:val="24"/>
          <w:szCs w:val="24"/>
        </w:rPr>
      </w:pPr>
      <w:r w:rsidRPr="007A020B">
        <w:rPr>
          <w:rFonts w:ascii="Times New Roman" w:hAnsi="Times New Roman" w:cs="Times New Roman"/>
          <w:sz w:val="24"/>
          <w:szCs w:val="24"/>
        </w:rPr>
        <w:t>responsible entity to develop a risk-based assessment methodology to use in identifying its critical assets. Requirement R1 specifies certain types of assets that an assessment must consider for critical asset status and also allows the consideration of additional assets that the responsible entity deems appropriate. Requirement R2 requires the responsible entity to develop a list of critical assets based on an annual application of the risk-based assessment methodology. Requirement R3 provides that the responsible entity must use the list of critical assets to develop a list of associated critical cyber assets that are essential to the operation of the critical assets. CIP-002-1 requires an annual reevaluation and approval by senior management of the lists of critical assets and critical cyber assets.</w:t>
      </w:r>
    </w:p>
    <w:p w:rsidR="007A020B" w:rsidRPr="007A020B" w:rsidRDefault="007A020B" w:rsidP="0078439E">
      <w:pPr>
        <w:rPr>
          <w:rFonts w:ascii="Times New Roman" w:hAnsi="Times New Roman" w:cs="Times New Roman"/>
          <w:sz w:val="24"/>
          <w:szCs w:val="24"/>
        </w:rPr>
      </w:pPr>
    </w:p>
    <w:p w:rsidR="007A020B" w:rsidRPr="007A020B" w:rsidRDefault="007A020B" w:rsidP="0078439E">
      <w:pPr>
        <w:rPr>
          <w:rFonts w:ascii="Times New Roman" w:hAnsi="Times New Roman" w:cs="Times New Roman"/>
          <w:sz w:val="24"/>
          <w:szCs w:val="24"/>
        </w:rPr>
      </w:pPr>
      <w:r w:rsidRPr="007A020B">
        <w:rPr>
          <w:rFonts w:ascii="Times New Roman" w:hAnsi="Times New Roman" w:cs="Times New Roman"/>
          <w:sz w:val="24"/>
          <w:szCs w:val="24"/>
        </w:rPr>
        <w:t xml:space="preserve">P 236.  Pursuant to section 215 of the FPA, the Commission approves Standard CIP-002-1 as mandatory and enforceable. … </w:t>
      </w:r>
    </w:p>
    <w:p w:rsidR="007A020B" w:rsidRPr="007A020B" w:rsidRDefault="007A020B" w:rsidP="0078439E">
      <w:pPr>
        <w:rPr>
          <w:rFonts w:ascii="Times New Roman" w:hAnsi="Times New Roman" w:cs="Times New Roman"/>
          <w:sz w:val="24"/>
          <w:szCs w:val="24"/>
        </w:rPr>
      </w:pPr>
    </w:p>
    <w:p w:rsidR="007A020B" w:rsidRPr="007A020B" w:rsidRDefault="007A020B" w:rsidP="0078439E">
      <w:pPr>
        <w:rPr>
          <w:rFonts w:ascii="Times New Roman" w:hAnsi="Times New Roman" w:cs="Times New Roman"/>
          <w:sz w:val="24"/>
          <w:szCs w:val="24"/>
        </w:rPr>
      </w:pPr>
      <w:r w:rsidRPr="007A020B">
        <w:rPr>
          <w:rFonts w:ascii="Times New Roman" w:hAnsi="Times New Roman" w:cs="Times New Roman"/>
          <w:sz w:val="24"/>
          <w:szCs w:val="24"/>
        </w:rPr>
        <w:t>P 237.  Requirement R1 of CIP-002-1 requires each responsible entity to develop a risk based assessment methodology to identify critical assets. A responsible entity must maintain documentation describing its methodology that includes procedures and evaluation criteria. Requirement R1 identifies specific assets that the methodology must “consider,” including control centers, facilities critical to system restoration and automatic load shedding, and substations and generation resources that support reliable operation of the Bulk-Power System – as well as any other assets that support reliable operations and the responsible entity deems appropriate to include in its assessment.</w:t>
      </w:r>
    </w:p>
    <w:p w:rsidR="007A020B" w:rsidRPr="007A020B" w:rsidRDefault="007A020B" w:rsidP="0078439E">
      <w:pPr>
        <w:rPr>
          <w:rFonts w:ascii="Times New Roman" w:hAnsi="Times New Roman" w:cs="Times New Roman"/>
          <w:b/>
          <w:bCs/>
          <w:sz w:val="24"/>
          <w:szCs w:val="24"/>
        </w:rPr>
      </w:pPr>
    </w:p>
    <w:p w:rsidR="00EA3FC6" w:rsidRDefault="00EA6FE7" w:rsidP="0078439E">
      <w:pPr>
        <w:rPr>
          <w:rFonts w:ascii="Times New Roman" w:hAnsi="Times New Roman" w:cs="Times New Roman"/>
          <w:sz w:val="24"/>
          <w:szCs w:val="24"/>
        </w:rPr>
      </w:pPr>
      <w:r>
        <w:rPr>
          <w:rFonts w:ascii="Times New Roman" w:hAnsi="Times New Roman" w:cs="Times New Roman"/>
          <w:sz w:val="24"/>
          <w:szCs w:val="24"/>
        </w:rPr>
        <w:t xml:space="preserve">P </w:t>
      </w:r>
      <w:r w:rsidR="00EA3FC6">
        <w:rPr>
          <w:rFonts w:ascii="Times New Roman" w:hAnsi="Times New Roman" w:cs="Times New Roman"/>
          <w:sz w:val="24"/>
          <w:szCs w:val="24"/>
        </w:rPr>
        <w:t xml:space="preserve">256. </w:t>
      </w:r>
      <w:r w:rsidR="00EA3FC6" w:rsidRPr="00EA3FC6">
        <w:rPr>
          <w:rFonts w:ascii="Times New Roman" w:hAnsi="Times New Roman" w:cs="Times New Roman"/>
          <w:sz w:val="24"/>
          <w:szCs w:val="24"/>
        </w:rPr>
        <w:t>Regarding MidAmerican’s comments on use of the N minus 1 criterion when applying a risk-based assessment methodology to the identification of critical assets, we agree with MidAmerican that an N minus 1 criterion is not an appropriate risk-based assessment methodology for identifying critical assets.  While the N minus 1 criterion may be appropriate in transmission planning, use of an N minus 1 criterion for the risk-based assessment in CIP-002-1 would result in the nonsensical result that no substations or generating plants need to be protected from cyber events.  A cyber attack can strike multiple assets simultaneously, and a cyber attack can cause damage to an asset for such a time period that other asset outages may occur before the damaged asset can be returned to service.  Thus, the fact that the system was developed to withstand the loss of any single asset should not be the basis for not protecting that asset.  Also, we note that the definition of “critical assets” is focused on the criticality of the asset, not the likelihood of an outage.  Based on this reasoning, in response to US Power, we clarify that a generator should not assume that none of its individual generating assets would be regarded “critical” to the Bulk-Power System.</w:t>
      </w:r>
    </w:p>
    <w:p w:rsidR="00EA3FC6" w:rsidRDefault="00EA3FC6" w:rsidP="0078439E">
      <w:pPr>
        <w:rPr>
          <w:rFonts w:ascii="Times New Roman" w:hAnsi="Times New Roman" w:cs="Times New Roman"/>
          <w:sz w:val="24"/>
          <w:szCs w:val="24"/>
        </w:rPr>
      </w:pPr>
    </w:p>
    <w:p w:rsidR="007A020B" w:rsidRPr="007A020B" w:rsidRDefault="00EA6FE7" w:rsidP="0078439E">
      <w:pPr>
        <w:rPr>
          <w:rFonts w:ascii="Times New Roman" w:hAnsi="Times New Roman" w:cs="Times New Roman"/>
          <w:sz w:val="24"/>
          <w:szCs w:val="24"/>
        </w:rPr>
      </w:pPr>
      <w:r>
        <w:rPr>
          <w:rFonts w:ascii="Times New Roman" w:hAnsi="Times New Roman" w:cs="Times New Roman"/>
          <w:sz w:val="24"/>
          <w:szCs w:val="24"/>
        </w:rPr>
        <w:t xml:space="preserve">P </w:t>
      </w:r>
      <w:r w:rsidR="007A020B" w:rsidRPr="007A020B">
        <w:rPr>
          <w:rFonts w:ascii="Times New Roman" w:hAnsi="Times New Roman" w:cs="Times New Roman"/>
          <w:sz w:val="24"/>
          <w:szCs w:val="24"/>
        </w:rPr>
        <w:t>280. The Commission has two concerns regarding the misuse of facilities, and clarifies those concerns here. First, Requirement R1.2.1 requires responsible entities to consider control centers and backup control centers as potential critical assets. In determining whether those control centers should be critical assets, we believe that responsible entities should examine the impact on reliability if the control centers are unavailable, due for example to power or communications failures, or denial of service attacks. Responsible entities should also examine the impact that misuse of those control centers could have on the electric facilities they control and what the combined impact of those electric facilities could be on the reliability of the Bulk-Power System. The Commission recognizes that, when these matters are taken into account, it is difficult to envision a scenario in which a reliability coordinator, transmission operator or transmission owner control center or backup control center would not properly be identified as a critical asset.</w:t>
      </w:r>
    </w:p>
    <w:p w:rsidR="007A020B" w:rsidRPr="007A020B" w:rsidRDefault="007A020B" w:rsidP="0078439E">
      <w:pPr>
        <w:rPr>
          <w:rFonts w:ascii="Times New Roman" w:hAnsi="Times New Roman" w:cs="Times New Roman"/>
          <w:sz w:val="24"/>
          <w:szCs w:val="24"/>
        </w:rPr>
      </w:pPr>
    </w:p>
    <w:p w:rsidR="007A020B" w:rsidRPr="007A020B" w:rsidRDefault="007A020B" w:rsidP="0078439E">
      <w:pPr>
        <w:rPr>
          <w:rFonts w:ascii="Times New Roman" w:hAnsi="Times New Roman" w:cs="Times New Roman"/>
          <w:sz w:val="24"/>
          <w:szCs w:val="24"/>
        </w:rPr>
      </w:pPr>
      <w:r w:rsidRPr="007A020B">
        <w:rPr>
          <w:rFonts w:ascii="Times New Roman" w:hAnsi="Times New Roman" w:cs="Times New Roman"/>
          <w:sz w:val="24"/>
          <w:szCs w:val="24"/>
        </w:rPr>
        <w:t>P 281.  Second, the Commission is concerned about the misuse of a control system that controls more than one asset. The assets could be multiple generating units, multiple transmission breakers, or perhaps even multiple substations. All of the controlled assets could be taken out of service simultaneously due to a failure or misuse of the control system. Individually, perhaps none of the controlled assets would be considered as a critical asset. However, with a simultaneous outage due to the single point of control, the controlled assets might affect the reliability or operability of the Bulk-Power System and, therefore, should be considered as critical assets. In that case, the common control system should be considered a critical cyber asset.</w:t>
      </w:r>
    </w:p>
    <w:p w:rsidR="007A020B" w:rsidRPr="007A020B" w:rsidRDefault="007A020B" w:rsidP="0078439E">
      <w:pPr>
        <w:rPr>
          <w:rFonts w:ascii="Times New Roman" w:hAnsi="Times New Roman" w:cs="Times New Roman"/>
          <w:sz w:val="24"/>
          <w:szCs w:val="24"/>
        </w:rPr>
      </w:pPr>
    </w:p>
    <w:p w:rsidR="00EA3FC6" w:rsidRDefault="00EA6FE7" w:rsidP="0078439E">
      <w:pPr>
        <w:rPr>
          <w:rFonts w:ascii="Times New Roman" w:hAnsi="Times New Roman" w:cs="Times New Roman"/>
          <w:sz w:val="24"/>
          <w:szCs w:val="24"/>
        </w:rPr>
      </w:pPr>
      <w:r>
        <w:rPr>
          <w:rFonts w:ascii="Times New Roman" w:hAnsi="Times New Roman" w:cs="Times New Roman"/>
          <w:sz w:val="24"/>
          <w:szCs w:val="24"/>
        </w:rPr>
        <w:t xml:space="preserve">P </w:t>
      </w:r>
      <w:r w:rsidR="00EA3FC6">
        <w:rPr>
          <w:rFonts w:ascii="Times New Roman" w:hAnsi="Times New Roman" w:cs="Times New Roman"/>
          <w:sz w:val="24"/>
          <w:szCs w:val="24"/>
        </w:rPr>
        <w:t xml:space="preserve">282. </w:t>
      </w:r>
      <w:r w:rsidR="00EA3FC6" w:rsidRPr="00EA3FC6">
        <w:rPr>
          <w:rFonts w:ascii="Times New Roman" w:hAnsi="Times New Roman" w:cs="Times New Roman"/>
          <w:sz w:val="24"/>
          <w:szCs w:val="24"/>
        </w:rPr>
        <w:t>Therefore, consistent with the discussion above, the Commission directs the ERO, through the Reliability Standards development process, to specifically require the consideration of misuse of control centers and control systems in the determination of critical assets.  The clarification of our concern over misuse of control systems addresses Entergy’s comment on this issue as well.</w:t>
      </w:r>
    </w:p>
    <w:p w:rsidR="00EA3FC6" w:rsidRDefault="00EA3FC6" w:rsidP="0078439E">
      <w:pPr>
        <w:rPr>
          <w:rFonts w:ascii="Times New Roman" w:hAnsi="Times New Roman" w:cs="Times New Roman"/>
          <w:sz w:val="24"/>
          <w:szCs w:val="24"/>
        </w:rPr>
      </w:pPr>
    </w:p>
    <w:p w:rsidR="007A020B" w:rsidRPr="007A020B" w:rsidRDefault="00EA6FE7" w:rsidP="0078439E">
      <w:pPr>
        <w:rPr>
          <w:rFonts w:ascii="Times New Roman" w:hAnsi="Times New Roman" w:cs="Times New Roman"/>
          <w:sz w:val="24"/>
          <w:szCs w:val="24"/>
        </w:rPr>
      </w:pPr>
      <w:r>
        <w:rPr>
          <w:rFonts w:ascii="Times New Roman" w:hAnsi="Times New Roman" w:cs="Times New Roman"/>
          <w:sz w:val="24"/>
          <w:szCs w:val="24"/>
        </w:rPr>
        <w:t xml:space="preserve">P </w:t>
      </w:r>
      <w:r w:rsidR="007A020B" w:rsidRPr="007A020B">
        <w:rPr>
          <w:rFonts w:ascii="Times New Roman" w:hAnsi="Times New Roman" w:cs="Times New Roman"/>
          <w:sz w:val="24"/>
          <w:szCs w:val="24"/>
        </w:rPr>
        <w:t>283. The Commission concurs … that both insider and external threats should be considered as part of a risk-based assessment.</w:t>
      </w:r>
    </w:p>
    <w:p w:rsidR="007A020B" w:rsidRPr="007A020B" w:rsidRDefault="007A020B" w:rsidP="0078439E">
      <w:pPr>
        <w:rPr>
          <w:rFonts w:ascii="Times New Roman" w:hAnsi="Times New Roman" w:cs="Times New Roman"/>
          <w:sz w:val="24"/>
          <w:szCs w:val="24"/>
        </w:rPr>
      </w:pPr>
    </w:p>
    <w:p w:rsidR="00EA6FE7" w:rsidRDefault="00EA6FE7" w:rsidP="0078439E">
      <w:pPr>
        <w:rPr>
          <w:rFonts w:ascii="Times New Roman" w:hAnsi="Times New Roman" w:cs="Times New Roman"/>
          <w:sz w:val="24"/>
          <w:szCs w:val="24"/>
        </w:rPr>
      </w:pPr>
      <w:r>
        <w:rPr>
          <w:rFonts w:ascii="Times New Roman" w:hAnsi="Times New Roman" w:cs="Times New Roman"/>
          <w:sz w:val="24"/>
          <w:szCs w:val="24"/>
        </w:rPr>
        <w:t xml:space="preserve">P 288. </w:t>
      </w:r>
      <w:r w:rsidRPr="00EA6FE7">
        <w:rPr>
          <w:rFonts w:ascii="Times New Roman" w:hAnsi="Times New Roman" w:cs="Times New Roman"/>
          <w:sz w:val="24"/>
          <w:szCs w:val="24"/>
        </w:rPr>
        <w:t>To clarify, the Commission did not propose to direct that the ERO develop a requirement for responsible entities to document why each specific asset was identified or not identified as “critical.”  Rather, the Commission’s intent was that a responsible entity must be able to explain such determinations, for example upon inquiry by an auditor, to confirm compliance with the Reliability Standard.  Nonetheless, we are persuaded by the commenters that the documentation of a responsible entity’s risk-based assessment methodology pursuant to Requirement R1.1 and the results of its annual application of the methodology pursuant to Requirement R2 should suffice to explain a responsible entity’s asset determinations.  Accordingly, the Commission will not direct the ERO to develop a modification to address this concern.  However, if experience shows that responsible entities are failing to consider in their assessments specific types of assets that the Commission, ERO or others believe should be included in an assessment and therefore not in compliance with the Reliability Standard, there may be a need to revisit this matter in the future.</w:t>
      </w:r>
    </w:p>
    <w:p w:rsidR="00EA6FE7" w:rsidRDefault="00EA6FE7" w:rsidP="0078439E">
      <w:pPr>
        <w:rPr>
          <w:rFonts w:ascii="Times New Roman" w:hAnsi="Times New Roman" w:cs="Times New Roman"/>
          <w:sz w:val="24"/>
          <w:szCs w:val="24"/>
        </w:rPr>
      </w:pPr>
    </w:p>
    <w:p w:rsidR="007A020B" w:rsidRPr="007A020B" w:rsidRDefault="007A020B" w:rsidP="0078439E">
      <w:pPr>
        <w:rPr>
          <w:rFonts w:ascii="Times New Roman" w:hAnsi="Times New Roman" w:cs="Times New Roman"/>
          <w:sz w:val="24"/>
          <w:szCs w:val="24"/>
        </w:rPr>
      </w:pPr>
      <w:r w:rsidRPr="007A020B">
        <w:rPr>
          <w:rFonts w:ascii="Times New Roman" w:hAnsi="Times New Roman" w:cs="Times New Roman"/>
          <w:sz w:val="24"/>
          <w:szCs w:val="24"/>
        </w:rPr>
        <w:t>P 319.  The Commission affirms its CIP NOPR determination that responsibility for identifying critical assets should not be shifted to the Regional Entity or another organization instead of the applicable responsible entities identified in the current CIP Reliability Standards. As we stated in the CIP NOPR,</w:t>
      </w:r>
      <w:r w:rsidRPr="007A020B">
        <w:rPr>
          <w:rFonts w:ascii="Times New Roman" w:hAnsi="Times New Roman" w:cs="Times New Roman"/>
          <w:b/>
          <w:bCs/>
          <w:sz w:val="24"/>
          <w:szCs w:val="24"/>
        </w:rPr>
        <w:t xml:space="preserve"> </w:t>
      </w:r>
      <w:r w:rsidRPr="007A020B">
        <w:rPr>
          <w:rFonts w:ascii="Times New Roman" w:hAnsi="Times New Roman" w:cs="Times New Roman"/>
          <w:sz w:val="24"/>
          <w:szCs w:val="24"/>
        </w:rPr>
        <w:t>and confirmed by commenters, such a shift would not improve the identification of critical assets, but would likely overburden the Regional Entities. While we are sympathetic to … concerns regarding small generation owners, generation operators and load serving entities that have a limited view of the Bulk-Power System, we believe that NERC’s development of guidance on the risk-based assessment methodology and our direction above to provide assistance to small entities should support the efforts of entities - both small and large – in performing a proper assessment. We do not believe that the lack of a wide-area view is sufficient reason to forego an assessment or taking responsibility.</w:t>
      </w:r>
    </w:p>
    <w:p w:rsidR="007A020B" w:rsidRPr="007A020B" w:rsidRDefault="007A020B" w:rsidP="0078439E">
      <w:pPr>
        <w:rPr>
          <w:rFonts w:ascii="Times New Roman" w:hAnsi="Times New Roman" w:cs="Times New Roman"/>
          <w:sz w:val="24"/>
          <w:szCs w:val="24"/>
        </w:rPr>
      </w:pPr>
    </w:p>
    <w:p w:rsidR="00EA6FE7" w:rsidRPr="00EA6FE7" w:rsidRDefault="00EA6FE7" w:rsidP="0078439E">
      <w:pPr>
        <w:rPr>
          <w:rFonts w:ascii="Times New Roman" w:hAnsi="Times New Roman" w:cs="Times New Roman"/>
          <w:sz w:val="24"/>
          <w:szCs w:val="24"/>
        </w:rPr>
      </w:pPr>
      <w:r>
        <w:rPr>
          <w:rFonts w:ascii="Times New Roman" w:hAnsi="Times New Roman" w:cs="Times New Roman"/>
          <w:sz w:val="24"/>
          <w:szCs w:val="24"/>
        </w:rPr>
        <w:t xml:space="preserve">P 321.  </w:t>
      </w:r>
      <w:r w:rsidRPr="00EA6FE7">
        <w:rPr>
          <w:rFonts w:ascii="Times New Roman" w:hAnsi="Times New Roman" w:cs="Times New Roman"/>
          <w:sz w:val="24"/>
          <w:szCs w:val="24"/>
        </w:rPr>
        <w:t xml:space="preserve">SPP and ReliabilityFirst suggest modifying CIP-002-1 to allow an entity to rely upon the assessment of another entity with interest in the matter.  We believe that this is a worthwhile suggestion for the ERO to pursue and the ERO should consider this proposal in the Reliability Standards development process.  We note that, even without such a provision, an entity such as a small generator operator is not foreclosed from consulting with a balancing authority or other appropriate entity with a wide-area view of the transmission system.    </w:t>
      </w:r>
    </w:p>
    <w:p w:rsidR="00EA6FE7" w:rsidRPr="00EA6FE7" w:rsidRDefault="00EA6FE7" w:rsidP="0078439E">
      <w:pPr>
        <w:rPr>
          <w:rFonts w:ascii="Times New Roman" w:hAnsi="Times New Roman" w:cs="Times New Roman"/>
          <w:sz w:val="24"/>
          <w:szCs w:val="24"/>
        </w:rPr>
      </w:pPr>
    </w:p>
    <w:p w:rsidR="00EA6FE7" w:rsidRPr="00EA6FE7" w:rsidRDefault="00EA6FE7" w:rsidP="0078439E">
      <w:pPr>
        <w:rPr>
          <w:rFonts w:ascii="Times New Roman" w:hAnsi="Times New Roman" w:cs="Times New Roman"/>
          <w:sz w:val="24"/>
          <w:szCs w:val="24"/>
        </w:rPr>
      </w:pPr>
      <w:r>
        <w:rPr>
          <w:rFonts w:ascii="Times New Roman" w:hAnsi="Times New Roman" w:cs="Times New Roman"/>
          <w:sz w:val="24"/>
          <w:szCs w:val="24"/>
        </w:rPr>
        <w:t xml:space="preserve">P 322. </w:t>
      </w:r>
      <w:r w:rsidRPr="00EA6FE7">
        <w:rPr>
          <w:rFonts w:ascii="Times New Roman" w:hAnsi="Times New Roman" w:cs="Times New Roman"/>
          <w:sz w:val="24"/>
          <w:szCs w:val="24"/>
        </w:rPr>
        <w:t xml:space="preserve">The Commission adopts its CIP NOPR proposal to direct that the ERO develop through its Reliability Standards development process a mechanism for external review and approval of critical asset lists.  The Commission finds that an external review of critical assets by an appropriate organization is needed to assure that such lists are considered from a wide-area view (i.e., from a regional perspective) and to identify trends in critical asset identification.  Further, while we recognize that individual circumstances may likely vary, an external review will provide an appropriate level of consistency. </w:t>
      </w:r>
    </w:p>
    <w:p w:rsidR="00EA6FE7" w:rsidRDefault="00EA6FE7" w:rsidP="0078439E">
      <w:pPr>
        <w:rPr>
          <w:rFonts w:ascii="Times New Roman" w:hAnsi="Times New Roman" w:cs="Times New Roman"/>
          <w:sz w:val="24"/>
          <w:szCs w:val="24"/>
        </w:rPr>
      </w:pPr>
    </w:p>
    <w:p w:rsidR="00EA6FE7" w:rsidRDefault="00EA6FE7" w:rsidP="0078439E">
      <w:pPr>
        <w:rPr>
          <w:rFonts w:ascii="Times New Roman" w:hAnsi="Times New Roman" w:cs="Times New Roman"/>
          <w:sz w:val="24"/>
          <w:szCs w:val="24"/>
        </w:rPr>
      </w:pPr>
      <w:r>
        <w:rPr>
          <w:rFonts w:ascii="Times New Roman" w:hAnsi="Times New Roman" w:cs="Times New Roman"/>
          <w:sz w:val="24"/>
          <w:szCs w:val="24"/>
        </w:rPr>
        <w:t xml:space="preserve">P 323. </w:t>
      </w:r>
      <w:r w:rsidRPr="00EA6FE7">
        <w:rPr>
          <w:rFonts w:ascii="Times New Roman" w:hAnsi="Times New Roman" w:cs="Times New Roman"/>
          <w:sz w:val="24"/>
          <w:szCs w:val="24"/>
        </w:rPr>
        <w:t xml:space="preserve">The Commission disagrees with the suggestion of Luminant and others that external review should be voluntary.  The identification of critical assets pursuant to CIP-002-1 is crucial to cyber security protection because this determination controls whether a responsible entity must comply with the remaining CIP requirements in CIP-003-1 through CIP-009-1.  External review will help ensure that responsible entities have an accurate and complete list of critical assets, which will in turn allow them to be appropriately protected to further the security of the nation’s Bulk-Power System.  Allowing external review as a voluntary measure is not adequate to ensure that responsible entities are prepared to address cyber vulnerabilities and cyber threats.  Based on the same reasoning, we reject the suggestion of </w:t>
      </w:r>
      <w:smartTag w:uri="urn:schemas-microsoft-com:office:smarttags" w:element="City">
        <w:r w:rsidRPr="00EA6FE7">
          <w:rPr>
            <w:rFonts w:ascii="Times New Roman" w:hAnsi="Times New Roman" w:cs="Times New Roman"/>
            <w:sz w:val="24"/>
            <w:szCs w:val="24"/>
          </w:rPr>
          <w:t>Northern Indiana</w:t>
        </w:r>
      </w:smartTag>
      <w:r w:rsidRPr="00EA6FE7">
        <w:rPr>
          <w:rFonts w:ascii="Times New Roman" w:hAnsi="Times New Roman" w:cs="Times New Roman"/>
          <w:sz w:val="24"/>
          <w:szCs w:val="24"/>
        </w:rPr>
        <w:t xml:space="preserve"> and others that the external review should only address the assessment methodology, and not critical asset lists.</w:t>
      </w:r>
    </w:p>
    <w:p w:rsidR="00EA6FE7" w:rsidRDefault="00EA6FE7" w:rsidP="0078439E">
      <w:pPr>
        <w:rPr>
          <w:rFonts w:ascii="Times New Roman" w:hAnsi="Times New Roman" w:cs="Times New Roman"/>
          <w:sz w:val="24"/>
          <w:szCs w:val="24"/>
        </w:rPr>
      </w:pPr>
    </w:p>
    <w:p w:rsidR="007A020B" w:rsidRPr="007A020B" w:rsidRDefault="007A020B" w:rsidP="0078439E">
      <w:pPr>
        <w:rPr>
          <w:rFonts w:ascii="Times New Roman" w:hAnsi="Times New Roman" w:cs="Times New Roman"/>
          <w:sz w:val="24"/>
          <w:szCs w:val="24"/>
        </w:rPr>
      </w:pPr>
      <w:r w:rsidRPr="007A020B">
        <w:rPr>
          <w:rFonts w:ascii="Times New Roman" w:hAnsi="Times New Roman" w:cs="Times New Roman"/>
          <w:sz w:val="24"/>
          <w:szCs w:val="24"/>
        </w:rPr>
        <w:t>P 327 The Commission believes that the Regional Entities must have a role in the external review to assure that there is sufficient accountability in the process.  Further, a Regional Entity role is necessary because the Regional Entities and ERO are ultimately responsible for ensuring compliance with Reliability Standards. For example, if the ERO determines that an appeals process is needed, this process cannot rest with an active owner or operator of the Bulk-Power System such as a reliability coordinator. Moreover, the ERO and the Commission have oversight authority of the Regional Entities’ programs and procedures pursuant to section 215 of the FPA.</w:t>
      </w:r>
    </w:p>
    <w:p w:rsidR="007A020B" w:rsidRPr="007A020B" w:rsidRDefault="007A020B" w:rsidP="0078439E">
      <w:pPr>
        <w:rPr>
          <w:rFonts w:ascii="Times New Roman" w:hAnsi="Times New Roman" w:cs="Times New Roman"/>
          <w:sz w:val="24"/>
          <w:szCs w:val="24"/>
        </w:rPr>
      </w:pPr>
    </w:p>
    <w:p w:rsidR="007A020B" w:rsidRPr="007A020B" w:rsidRDefault="00EA6FE7" w:rsidP="0078439E">
      <w:pPr>
        <w:rPr>
          <w:rFonts w:ascii="Times New Roman" w:hAnsi="Times New Roman" w:cs="Times New Roman"/>
          <w:sz w:val="24"/>
          <w:szCs w:val="24"/>
        </w:rPr>
      </w:pPr>
      <w:r>
        <w:rPr>
          <w:rFonts w:ascii="Times New Roman" w:hAnsi="Times New Roman" w:cs="Times New Roman"/>
          <w:sz w:val="24"/>
          <w:szCs w:val="24"/>
        </w:rPr>
        <w:t xml:space="preserve">P </w:t>
      </w:r>
      <w:r w:rsidR="007A020B" w:rsidRPr="007A020B">
        <w:rPr>
          <w:rFonts w:ascii="Times New Roman" w:hAnsi="Times New Roman" w:cs="Times New Roman"/>
          <w:sz w:val="24"/>
          <w:szCs w:val="24"/>
        </w:rPr>
        <w:t>328. Beyond the direction that the Regional Entities maintain a role in the external</w:t>
      </w:r>
    </w:p>
    <w:p w:rsidR="007A020B" w:rsidRPr="007A020B" w:rsidRDefault="007A020B" w:rsidP="0078439E">
      <w:pPr>
        <w:rPr>
          <w:rFonts w:ascii="Times New Roman" w:hAnsi="Times New Roman" w:cs="Times New Roman"/>
          <w:sz w:val="24"/>
          <w:szCs w:val="24"/>
        </w:rPr>
      </w:pPr>
      <w:r w:rsidRPr="007A020B">
        <w:rPr>
          <w:rFonts w:ascii="Times New Roman" w:hAnsi="Times New Roman" w:cs="Times New Roman"/>
          <w:sz w:val="24"/>
          <w:szCs w:val="24"/>
        </w:rPr>
        <w:t>review to process to assure that there is sufficient accountability, we leave to the ERO to determine whether the Regional Entities have, or can timely develop, the resources to conduct the external reviews.</w:t>
      </w:r>
      <w:r w:rsidRPr="007A020B">
        <w:rPr>
          <w:rFonts w:ascii="Times New Roman" w:hAnsi="Times New Roman" w:cs="Times New Roman"/>
          <w:b/>
          <w:bCs/>
          <w:sz w:val="24"/>
          <w:szCs w:val="24"/>
        </w:rPr>
        <w:t xml:space="preserve">100 </w:t>
      </w:r>
      <w:r w:rsidRPr="007A020B">
        <w:rPr>
          <w:rFonts w:ascii="Times New Roman" w:hAnsi="Times New Roman" w:cs="Times New Roman"/>
          <w:sz w:val="24"/>
          <w:szCs w:val="24"/>
        </w:rPr>
        <w:t>Alternatively, the ERO may determine that another entity such as reliability coordinators may be best equipped to conduct the reviews.  While commenters have made what the Commission believes to be a strong case that reliability coordinators are the appropriate entity to perform the reviews, the ERO should decide the best approach with its understanding of the capabilities and limitations of the Regional Entities. Regardless of this determination, however, the Commission notes that the Regional Entities have the oversight responsibility.</w:t>
      </w:r>
    </w:p>
    <w:p w:rsidR="007A020B" w:rsidRPr="007A020B" w:rsidRDefault="007A020B" w:rsidP="0078439E">
      <w:pPr>
        <w:rPr>
          <w:rFonts w:ascii="Times New Roman" w:hAnsi="Times New Roman" w:cs="Times New Roman"/>
          <w:sz w:val="24"/>
          <w:szCs w:val="24"/>
        </w:rPr>
      </w:pPr>
    </w:p>
    <w:p w:rsidR="007A020B" w:rsidRPr="007A020B" w:rsidRDefault="007A020B" w:rsidP="0078439E">
      <w:pPr>
        <w:rPr>
          <w:rFonts w:ascii="Times New Roman" w:hAnsi="Times New Roman" w:cs="Times New Roman"/>
          <w:sz w:val="24"/>
          <w:szCs w:val="24"/>
        </w:rPr>
      </w:pPr>
      <w:r w:rsidRPr="007A020B">
        <w:rPr>
          <w:rFonts w:ascii="Times New Roman" w:hAnsi="Times New Roman" w:cs="Times New Roman"/>
          <w:sz w:val="24"/>
          <w:szCs w:val="24"/>
        </w:rPr>
        <w:t>P 330.  The Commission agrees with commenters that critical asset lists contain sensitive information that needs to be protected from public dissemination. The Commission, however, does not believe that this concern is a persuasive rationale for not having an external review mechanism. Rather, adequate safeguards need to be developed to assure that the information contained in critical asset lists are not released during the external review process. While Requirement R4 of CIP-003-1 obligates a responsible entity to “implement and document a program to identify, classify, and protect information associated with Critical Cyber Assets,” the Commission does not view this as inherently conflicting with an external review process that has adequate safeguards to prevent the release of sensitive information.</w:t>
      </w:r>
    </w:p>
    <w:p w:rsidR="007A020B" w:rsidRPr="007A020B" w:rsidRDefault="007A020B" w:rsidP="0078439E">
      <w:pPr>
        <w:rPr>
          <w:rFonts w:ascii="Times New Roman" w:hAnsi="Times New Roman" w:cs="Times New Roman"/>
          <w:sz w:val="24"/>
          <w:szCs w:val="24"/>
        </w:rPr>
      </w:pPr>
    </w:p>
    <w:p w:rsidR="007A020B" w:rsidRPr="007A020B" w:rsidRDefault="00EA6FE7" w:rsidP="0078439E">
      <w:pPr>
        <w:rPr>
          <w:rFonts w:ascii="Times New Roman" w:hAnsi="Times New Roman" w:cs="Times New Roman"/>
          <w:sz w:val="24"/>
          <w:szCs w:val="24"/>
        </w:rPr>
      </w:pPr>
      <w:r>
        <w:rPr>
          <w:rFonts w:ascii="Times New Roman" w:hAnsi="Times New Roman" w:cs="Times New Roman"/>
          <w:sz w:val="24"/>
          <w:szCs w:val="24"/>
        </w:rPr>
        <w:t xml:space="preserve">P </w:t>
      </w:r>
      <w:r w:rsidR="007A020B" w:rsidRPr="007A020B">
        <w:rPr>
          <w:rFonts w:ascii="Times New Roman" w:hAnsi="Times New Roman" w:cs="Times New Roman"/>
          <w:sz w:val="24"/>
          <w:szCs w:val="24"/>
        </w:rPr>
        <w:t xml:space="preserve">333. … we agree that a governmental entity subject to FOIA requirements should not be required to share sensitive information about critical assets lists that could be deemed a waiver of FOIA protection that is otherwise available. Nonetheless, a governmental entity’s identification of critical assets should be subject to appropriate oversight. … </w:t>
      </w:r>
    </w:p>
    <w:p w:rsidR="007A020B" w:rsidRPr="007A020B" w:rsidRDefault="007A020B" w:rsidP="0078439E">
      <w:pPr>
        <w:rPr>
          <w:rFonts w:ascii="Times New Roman" w:hAnsi="Times New Roman" w:cs="Times New Roman"/>
          <w:sz w:val="24"/>
          <w:szCs w:val="24"/>
        </w:rPr>
      </w:pPr>
    </w:p>
    <w:p w:rsidR="007A020B" w:rsidRPr="007A020B" w:rsidRDefault="00EA6FE7" w:rsidP="0078439E">
      <w:pPr>
        <w:rPr>
          <w:rFonts w:ascii="Times New Roman" w:hAnsi="Times New Roman" w:cs="Times New Roman"/>
          <w:sz w:val="24"/>
          <w:szCs w:val="24"/>
        </w:rPr>
      </w:pPr>
      <w:r>
        <w:rPr>
          <w:rFonts w:ascii="Times New Roman" w:hAnsi="Times New Roman" w:cs="Times New Roman"/>
          <w:sz w:val="24"/>
          <w:szCs w:val="24"/>
        </w:rPr>
        <w:t xml:space="preserve">P </w:t>
      </w:r>
      <w:r w:rsidR="007A020B" w:rsidRPr="007A020B">
        <w:rPr>
          <w:rFonts w:ascii="Times New Roman" w:hAnsi="Times New Roman" w:cs="Times New Roman"/>
          <w:sz w:val="24"/>
          <w:szCs w:val="24"/>
        </w:rPr>
        <w:t>334. Further, if a governmental entity has classified material regarding its critical</w:t>
      </w:r>
      <w:r w:rsidR="003507FF">
        <w:rPr>
          <w:rFonts w:ascii="Times New Roman" w:hAnsi="Times New Roman" w:cs="Times New Roman"/>
          <w:sz w:val="24"/>
          <w:szCs w:val="24"/>
        </w:rPr>
        <w:t xml:space="preserve"> </w:t>
      </w:r>
      <w:r w:rsidR="007A020B" w:rsidRPr="007A020B">
        <w:rPr>
          <w:rFonts w:ascii="Times New Roman" w:hAnsi="Times New Roman" w:cs="Times New Roman"/>
          <w:sz w:val="24"/>
          <w:szCs w:val="24"/>
        </w:rPr>
        <w:t>assets, this information may not be disclosed except in accordance with controlling laws and regulations. The ERO’s external review process must explicitly recognize this limitation.</w:t>
      </w:r>
    </w:p>
    <w:p w:rsidR="007A020B" w:rsidRDefault="007A020B" w:rsidP="0078439E">
      <w:pPr>
        <w:widowControl w:val="0"/>
        <w:rPr>
          <w:rFonts w:ascii="Times New Roman" w:hAnsi="Times New Roman" w:cs="Times New Roman"/>
          <w:sz w:val="24"/>
          <w:szCs w:val="24"/>
        </w:rPr>
      </w:pPr>
    </w:p>
    <w:p w:rsidR="00BB6A69" w:rsidRDefault="00BB6A69" w:rsidP="0078439E">
      <w:pPr>
        <w:widowControl w:val="0"/>
        <w:rPr>
          <w:rFonts w:ascii="Times New Roman" w:hAnsi="Times New Roman" w:cs="Times New Roman"/>
          <w:sz w:val="24"/>
          <w:szCs w:val="24"/>
        </w:rPr>
      </w:pPr>
    </w:p>
    <w:p w:rsidR="00506433" w:rsidRPr="00506433" w:rsidRDefault="00BB6A69" w:rsidP="00BB6A69">
      <w:pPr>
        <w:widowControl w:val="0"/>
        <w:rPr>
          <w:rFonts w:ascii="Times New Roman" w:hAnsi="Times New Roman" w:cs="Times New Roman"/>
          <w:b/>
          <w:sz w:val="24"/>
          <w:szCs w:val="24"/>
        </w:rPr>
      </w:pPr>
      <w:r w:rsidRPr="00506433">
        <w:rPr>
          <w:rFonts w:ascii="Times New Roman" w:hAnsi="Times New Roman" w:cs="Times New Roman"/>
          <w:b/>
          <w:sz w:val="24"/>
          <w:szCs w:val="24"/>
        </w:rPr>
        <w:t xml:space="preserve">Order Approving </w:t>
      </w:r>
      <w:r w:rsidR="00C674B0" w:rsidRPr="00506433">
        <w:rPr>
          <w:rFonts w:ascii="Times New Roman" w:hAnsi="Times New Roman" w:cs="Times New Roman"/>
          <w:b/>
          <w:sz w:val="24"/>
          <w:szCs w:val="24"/>
        </w:rPr>
        <w:t xml:space="preserve">Revised Reliability Standards for Critical Infrastructure Protection and Requiring Compliance Filing </w:t>
      </w:r>
    </w:p>
    <w:p w:rsidR="00BB6A69" w:rsidRDefault="00C674B0" w:rsidP="00BB6A69">
      <w:pPr>
        <w:widowControl w:val="0"/>
        <w:rPr>
          <w:rFonts w:ascii="Times New Roman" w:hAnsi="Times New Roman" w:cs="Times New Roman"/>
          <w:b/>
          <w:sz w:val="24"/>
          <w:szCs w:val="24"/>
        </w:rPr>
      </w:pPr>
      <w:r w:rsidRPr="00506433">
        <w:rPr>
          <w:rFonts w:ascii="Times New Roman" w:hAnsi="Times New Roman" w:cs="Times New Roman"/>
          <w:b/>
          <w:sz w:val="24"/>
          <w:szCs w:val="24"/>
        </w:rPr>
        <w:t>(September 30, 2009)</w:t>
      </w:r>
    </w:p>
    <w:p w:rsidR="00506433" w:rsidRDefault="00506433" w:rsidP="00BB6A69">
      <w:pPr>
        <w:widowControl w:val="0"/>
        <w:rPr>
          <w:rFonts w:ascii="Times New Roman" w:hAnsi="Times New Roman" w:cs="Times New Roman"/>
          <w:b/>
          <w:sz w:val="24"/>
          <w:szCs w:val="24"/>
        </w:rPr>
      </w:pPr>
    </w:p>
    <w:p w:rsidR="00506433" w:rsidRPr="00506433" w:rsidRDefault="00506433" w:rsidP="00BB6A69">
      <w:pPr>
        <w:widowControl w:val="0"/>
        <w:rPr>
          <w:rFonts w:ascii="Times New Roman" w:hAnsi="Times New Roman" w:cs="Times New Roman"/>
          <w:b/>
          <w:sz w:val="24"/>
          <w:szCs w:val="24"/>
        </w:rPr>
      </w:pPr>
      <w:r>
        <w:rPr>
          <w:rFonts w:ascii="Times New Roman" w:hAnsi="Times New Roman" w:cs="Times New Roman"/>
          <w:b/>
          <w:sz w:val="24"/>
          <w:szCs w:val="24"/>
        </w:rPr>
        <w:t>CIP-002-2</w:t>
      </w:r>
    </w:p>
    <w:p w:rsidR="00BB6A69" w:rsidRDefault="00BB6A69" w:rsidP="00BB6A69">
      <w:pPr>
        <w:widowControl w:val="0"/>
        <w:rPr>
          <w:rFonts w:ascii="Times New Roman" w:hAnsi="Times New Roman" w:cs="Times New Roman"/>
          <w:sz w:val="24"/>
          <w:szCs w:val="24"/>
        </w:rPr>
      </w:pPr>
    </w:p>
    <w:p w:rsidR="00BB6A69" w:rsidRPr="002E67C0" w:rsidRDefault="00BB6A69" w:rsidP="00BB6A69">
      <w:pPr>
        <w:rPr>
          <w:rFonts w:ascii="Times New Roman" w:hAnsi="Times New Roman" w:cs="Times New Roman"/>
          <w:sz w:val="24"/>
          <w:szCs w:val="24"/>
        </w:rPr>
      </w:pPr>
      <w:r w:rsidRPr="002E67C0">
        <w:rPr>
          <w:rFonts w:ascii="Times New Roman" w:hAnsi="Times New Roman" w:cs="Times New Roman"/>
          <w:sz w:val="24"/>
          <w:szCs w:val="24"/>
        </w:rPr>
        <w:t>P 5 …NERC’s proposed changes to the Standards include the following:… specification in CIP-002-2 Requirement R4 that the senior manager must annually approve the risk-based assessment methodology in addition to the list of Critical Assets and Critical Cyber Assets</w:t>
      </w:r>
      <w:r>
        <w:rPr>
          <w:rFonts w:ascii="Times New Roman" w:hAnsi="Times New Roman" w:cs="Times New Roman"/>
          <w:sz w:val="24"/>
          <w:szCs w:val="24"/>
        </w:rPr>
        <w:t>…</w:t>
      </w:r>
    </w:p>
    <w:p w:rsidR="00BB6A69" w:rsidRDefault="00BB6A69" w:rsidP="00BB6A69">
      <w:pPr>
        <w:widowControl w:val="0"/>
        <w:rPr>
          <w:rFonts w:ascii="Times New Roman" w:hAnsi="Times New Roman" w:cs="Times New Roman"/>
          <w:sz w:val="24"/>
          <w:szCs w:val="24"/>
        </w:rPr>
      </w:pPr>
    </w:p>
    <w:p w:rsidR="00BB6A69" w:rsidRPr="002E67C0" w:rsidRDefault="00BB6A69" w:rsidP="00BB6A69">
      <w:pPr>
        <w:rPr>
          <w:rFonts w:ascii="Times New Roman" w:hAnsi="Times New Roman" w:cs="Times New Roman"/>
          <w:sz w:val="24"/>
          <w:szCs w:val="24"/>
        </w:rPr>
      </w:pPr>
      <w:r w:rsidRPr="002E67C0">
        <w:rPr>
          <w:rFonts w:ascii="Times New Roman" w:hAnsi="Times New Roman" w:cs="Times New Roman"/>
          <w:sz w:val="24"/>
          <w:szCs w:val="24"/>
        </w:rPr>
        <w:t>(Attachment: Compliance Issues On Implementation Plan)</w:t>
      </w:r>
    </w:p>
    <w:p w:rsidR="00BB6A69" w:rsidRPr="002E67C0" w:rsidRDefault="00BB6A69" w:rsidP="00BB6A69">
      <w:pPr>
        <w:rPr>
          <w:rFonts w:ascii="Times New Roman" w:hAnsi="Times New Roman" w:cs="Times New Roman"/>
          <w:sz w:val="26"/>
          <w:szCs w:val="26"/>
        </w:rPr>
      </w:pPr>
      <w:r w:rsidRPr="002E67C0">
        <w:rPr>
          <w:rFonts w:ascii="Times New Roman" w:hAnsi="Times New Roman" w:cs="Times New Roman"/>
          <w:sz w:val="24"/>
          <w:szCs w:val="24"/>
        </w:rPr>
        <w:t>g. We note that pursuant to CIP-002-2 Requirement R3, a Responsible Entity must consider which of its Cyber Assets are Critical Cyber Assets essential to the operation of a Critical Asset. In that sense, all of a Responsible Entity’s Cyber Assets become subject to CIP Reliability Standards when the entity undertakes to comply with CIP-002-2 Requirement R3. We also observe that at page 2, the Version 2 Implementation Plan states that the term “Cyber Asset becomes subject to the CIP standards” applies to “all Critical Cyber Assets, as well as to other (non-critical) Cyber Assets within an Electronic Security Perimeter.” However, this statement does not make clear whether NERC intends that formula to be the definition of the term. We direct NERC to clarify the meaning of the term “planned change” that appears in the description of both categories, because the Version 2 Implementation Plan does not define that term.</w:t>
      </w:r>
    </w:p>
    <w:p w:rsidR="00F71439" w:rsidRDefault="00F71439" w:rsidP="0078439E">
      <w:pPr>
        <w:widowControl w:val="0"/>
        <w:rPr>
          <w:rFonts w:ascii="Times New Roman" w:hAnsi="Times New Roman" w:cs="Times New Roman"/>
          <w:sz w:val="24"/>
          <w:szCs w:val="24"/>
        </w:rPr>
      </w:pPr>
    </w:p>
    <w:p w:rsidR="00F71439" w:rsidRPr="00F71439" w:rsidRDefault="00F71439" w:rsidP="00F71439">
      <w:pPr>
        <w:pStyle w:val="Default"/>
      </w:pPr>
    </w:p>
    <w:p w:rsidR="00954F04" w:rsidRDefault="00954F04" w:rsidP="00954F04">
      <w:pPr>
        <w:pStyle w:val="Default"/>
        <w:rPr>
          <w:b/>
        </w:rPr>
      </w:pPr>
      <w:r w:rsidRPr="001A5B32">
        <w:rPr>
          <w:b/>
        </w:rPr>
        <w:t>Order on Compliance (March 31, 2010)</w:t>
      </w:r>
    </w:p>
    <w:p w:rsidR="00506433" w:rsidRDefault="00506433" w:rsidP="00954F04">
      <w:pPr>
        <w:pStyle w:val="Default"/>
        <w:rPr>
          <w:b/>
        </w:rPr>
      </w:pPr>
    </w:p>
    <w:p w:rsidR="00506433" w:rsidRPr="001A5B32" w:rsidRDefault="00506433" w:rsidP="00954F04">
      <w:pPr>
        <w:pStyle w:val="Default"/>
        <w:rPr>
          <w:b/>
        </w:rPr>
      </w:pPr>
      <w:r>
        <w:rPr>
          <w:b/>
        </w:rPr>
        <w:t>CIP-002-3</w:t>
      </w:r>
    </w:p>
    <w:p w:rsidR="00954F04" w:rsidRPr="001A5B32" w:rsidRDefault="00954F04" w:rsidP="00954F04">
      <w:pPr>
        <w:pStyle w:val="Default"/>
      </w:pPr>
    </w:p>
    <w:p w:rsidR="00954F04" w:rsidRPr="001A5B32" w:rsidRDefault="00954F04" w:rsidP="00954F04">
      <w:pPr>
        <w:pStyle w:val="Default"/>
      </w:pPr>
      <w:r w:rsidRPr="001A5B32">
        <w:t xml:space="preserve">P20 The Commission rejects the Version 3 CIP Implementation Plan. We understand that NERC intends this Version 3 CIP Implementation Plan to serve as a guide to which CIP Reliability Standards and which implementation plans are in effect at a given time. We find this document unnecessary and confusing, primarily because the Version 3 CIP Implementation Plan is presented as an actionable plan rather than an informational guide. However, the Implementation Plan itself does not determine the effective date, or retirement, of the CIP Reliability Standards. Rather, the functions listed in the document occur as a result of the Commission’s approval of the Reliability Standards themselves. </w:t>
      </w:r>
    </w:p>
    <w:p w:rsidR="00954F04" w:rsidRPr="001A5B32" w:rsidRDefault="00954F04" w:rsidP="00954F04">
      <w:pPr>
        <w:pStyle w:val="Default"/>
      </w:pPr>
    </w:p>
    <w:p w:rsidR="00954F04" w:rsidRPr="001A5B32" w:rsidRDefault="00853D35" w:rsidP="00954F04">
      <w:pPr>
        <w:pStyle w:val="Default"/>
      </w:pPr>
      <w:r>
        <w:t>P</w:t>
      </w:r>
      <w:r w:rsidR="00954F04">
        <w:t xml:space="preserve">21 </w:t>
      </w:r>
      <w:r w:rsidR="00954F04" w:rsidRPr="001A5B32">
        <w:t xml:space="preserve">To provide clarity regarding the effective dates of the CIP Reliability Standards and implementation plans, as well as which entities must be compliant at which time, we provide the following information based on Commission orders to date: </w:t>
      </w:r>
    </w:p>
    <w:p w:rsidR="00954F04" w:rsidRPr="001A5B32" w:rsidRDefault="00954F04" w:rsidP="00954F04">
      <w:pPr>
        <w:pStyle w:val="Default"/>
      </w:pPr>
    </w:p>
    <w:p w:rsidR="00954F04" w:rsidRPr="001A5B32" w:rsidRDefault="00954F04" w:rsidP="00954F04">
      <w:pPr>
        <w:pStyle w:val="Default"/>
        <w:numPr>
          <w:ilvl w:val="0"/>
          <w:numId w:val="24"/>
        </w:numPr>
        <w:ind w:left="540" w:hanging="180"/>
      </w:pPr>
      <w:r>
        <w:t xml:space="preserve"> </w:t>
      </w:r>
      <w:r w:rsidRPr="001A5B32">
        <w:t>All responsible entities that registered by March 31, 2008, must become compliant with the CIP Reliab</w:t>
      </w:r>
      <w:r>
        <w:t xml:space="preserve">ility </w:t>
      </w:r>
      <w:r w:rsidRPr="001A5B32">
        <w:t>Standards according to the milestones stated in the Version 1 Implementation Plan.</w:t>
      </w:r>
    </w:p>
    <w:p w:rsidR="00954F04" w:rsidRPr="001A5B32" w:rsidRDefault="00954F04" w:rsidP="00954F04">
      <w:pPr>
        <w:pStyle w:val="Default"/>
      </w:pPr>
    </w:p>
    <w:p w:rsidR="00954F04" w:rsidRPr="001A5B32" w:rsidRDefault="00954F04" w:rsidP="00954F04">
      <w:pPr>
        <w:pStyle w:val="Default"/>
        <w:numPr>
          <w:ilvl w:val="0"/>
          <w:numId w:val="24"/>
        </w:numPr>
        <w:ind w:left="540" w:hanging="180"/>
      </w:pPr>
      <w:r w:rsidRPr="001A5B32">
        <w:t xml:space="preserve">All responsible entities that registered on or after April 1, 2008, must become compliant with the CIP Reliability Standards according to the milestones stated in the “Implementation Plan for Newly Identified Critical Cyber Assets and Newly Registered Entities” approved by this order. </w:t>
      </w:r>
    </w:p>
    <w:p w:rsidR="00954F04" w:rsidRPr="001A5B32" w:rsidRDefault="00954F04" w:rsidP="00954F04">
      <w:pPr>
        <w:pStyle w:val="Default"/>
      </w:pPr>
    </w:p>
    <w:p w:rsidR="00954F04" w:rsidRPr="001A5B32" w:rsidRDefault="00954F04" w:rsidP="00954F04">
      <w:pPr>
        <w:pStyle w:val="Default"/>
        <w:numPr>
          <w:ilvl w:val="0"/>
          <w:numId w:val="24"/>
        </w:numPr>
        <w:ind w:left="540" w:hanging="180"/>
      </w:pPr>
      <w:r w:rsidRPr="001A5B32">
        <w:t xml:space="preserve">If a responsible entity subsequently identifies a new Critical Cyber Asset, after reaching the “Compliant” milestone for CIP-002 under the applicable Implementation Plan based on its registration date, the responsible entity shall either bring the newly identified Critical Cyber Asset into compliance immediately upon identification or according to the milestones enumerated in the “Implementation Plan for Newly Identified Critical Cyber Assets and Newly Registered Entities” approved by this order. </w:t>
      </w:r>
    </w:p>
    <w:p w:rsidR="00954F04" w:rsidRPr="001A5B32" w:rsidRDefault="00954F04" w:rsidP="00954F04">
      <w:pPr>
        <w:pStyle w:val="Default"/>
      </w:pPr>
    </w:p>
    <w:p w:rsidR="00954F04" w:rsidRPr="001A5B32" w:rsidRDefault="00954F04" w:rsidP="00954F04">
      <w:pPr>
        <w:pStyle w:val="Default"/>
        <w:numPr>
          <w:ilvl w:val="0"/>
          <w:numId w:val="24"/>
        </w:numPr>
        <w:ind w:left="540" w:hanging="180"/>
      </w:pPr>
      <w:r w:rsidRPr="001A5B32">
        <w:t>The Version 1 Implementation Plan is fully retired for all subject entities as of March 31, 2011, for three reasons: (1) Table 1, Table 2, and Table 3 entities under the Version 1 Implementation Plan are scheduled to reach the “Auditably Compliant” phase by December 31, 2010; (2) the “Implementation Plan for Newly Identified Critical Cyber Assets and Newly Registered Entities” replaces Table 4 of the Version 1 Implementation Plan for any entities that registered on or after April 1, 2008; and (3) an entity registered on the last possible date to be subject to the Version 1 Implementation Plan must reach the “Auditably Compliant” phase by March 31, 2011.</w:t>
      </w:r>
      <w:r w:rsidRPr="001A5B32">
        <w:rPr>
          <w:b/>
          <w:bCs/>
        </w:rPr>
        <w:t xml:space="preserve"> </w:t>
      </w:r>
    </w:p>
    <w:p w:rsidR="00954F04" w:rsidRPr="001A5B32" w:rsidRDefault="00954F04" w:rsidP="00954F04">
      <w:pPr>
        <w:pStyle w:val="Default"/>
      </w:pPr>
    </w:p>
    <w:p w:rsidR="00954F04" w:rsidRPr="001A5B32" w:rsidRDefault="00954F04" w:rsidP="00954F04">
      <w:pPr>
        <w:pStyle w:val="Default"/>
        <w:numPr>
          <w:ilvl w:val="0"/>
          <w:numId w:val="24"/>
        </w:numPr>
        <w:ind w:left="540" w:hanging="180"/>
      </w:pPr>
      <w:r w:rsidRPr="001A5B32">
        <w:t>The Version 2 CIP Reliability Standards shall be effective as of April 1, 2010 based on the effective date formula contained in each of the standard.</w:t>
      </w:r>
      <w:r w:rsidRPr="001A5B32">
        <w:rPr>
          <w:b/>
          <w:bCs/>
        </w:rPr>
        <w:t xml:space="preserve"> </w:t>
      </w:r>
    </w:p>
    <w:p w:rsidR="00954F04" w:rsidRPr="001A5B32" w:rsidRDefault="00954F04" w:rsidP="00954F04">
      <w:pPr>
        <w:pStyle w:val="Default"/>
      </w:pPr>
    </w:p>
    <w:p w:rsidR="00954F04" w:rsidRPr="001A5B32" w:rsidRDefault="00954F04" w:rsidP="00954F04">
      <w:pPr>
        <w:pStyle w:val="Default"/>
        <w:numPr>
          <w:ilvl w:val="0"/>
          <w:numId w:val="24"/>
        </w:numPr>
        <w:ind w:left="540" w:hanging="180"/>
      </w:pPr>
      <w:r w:rsidRPr="001A5B32">
        <w:t xml:space="preserve">The Version 3 CIP Reliability Standards shall be effective as of October 1, 2010 according to the effective date formula contained in each of the standards. </w:t>
      </w:r>
    </w:p>
    <w:p w:rsidR="00954F04" w:rsidRPr="001A5B32" w:rsidRDefault="00954F04" w:rsidP="00954F04">
      <w:pPr>
        <w:pStyle w:val="Default"/>
      </w:pPr>
    </w:p>
    <w:p w:rsidR="00954F04" w:rsidRPr="001A5B32" w:rsidRDefault="00954F04" w:rsidP="00954F04">
      <w:pPr>
        <w:pStyle w:val="Default"/>
        <w:numPr>
          <w:ilvl w:val="0"/>
          <w:numId w:val="24"/>
        </w:numPr>
        <w:ind w:left="540" w:hanging="180"/>
      </w:pPr>
      <w:r w:rsidRPr="001A5B32">
        <w:t xml:space="preserve">The two documents filed by NERC on May 22, 2009 to comprise a Version 2 Implementation Plan are not in effect for any entity at any time. </w:t>
      </w:r>
    </w:p>
    <w:p w:rsidR="00954F04" w:rsidRDefault="00954F04" w:rsidP="00954F04">
      <w:pPr>
        <w:pStyle w:val="Default"/>
        <w:rPr>
          <w:sz w:val="26"/>
          <w:szCs w:val="26"/>
        </w:rPr>
      </w:pPr>
    </w:p>
    <w:p w:rsidR="00954F04" w:rsidRPr="00C04BF2" w:rsidRDefault="00954F04" w:rsidP="00954F04">
      <w:pPr>
        <w:rPr>
          <w:rFonts w:ascii="Times New Roman" w:hAnsi="Times New Roman" w:cs="Times New Roman"/>
          <w:sz w:val="24"/>
          <w:szCs w:val="24"/>
        </w:rPr>
      </w:pPr>
    </w:p>
    <w:p w:rsidR="00954F04" w:rsidRPr="00043FB5" w:rsidRDefault="00954F04" w:rsidP="00954F04">
      <w:pPr>
        <w:widowControl w:val="0"/>
        <w:rPr>
          <w:rFonts w:ascii="Times New Roman" w:hAnsi="Times New Roman" w:cs="Times New Roman"/>
          <w:sz w:val="24"/>
          <w:szCs w:val="24"/>
        </w:rPr>
      </w:pPr>
      <w:r w:rsidRPr="00043FB5">
        <w:rPr>
          <w:rFonts w:ascii="Times New Roman" w:hAnsi="Times New Roman" w:cs="Times New Roman"/>
          <w:b/>
          <w:bCs/>
          <w:color w:val="000000"/>
          <w:sz w:val="24"/>
          <w:szCs w:val="24"/>
        </w:rPr>
        <w:t xml:space="preserve"> </w:t>
      </w:r>
    </w:p>
    <w:p w:rsidR="00F71439" w:rsidRDefault="00F71439" w:rsidP="0078439E">
      <w:pPr>
        <w:widowControl w:val="0"/>
        <w:rPr>
          <w:rFonts w:ascii="Times New Roman" w:hAnsi="Times New Roman" w:cs="Times New Roman"/>
          <w:sz w:val="24"/>
          <w:szCs w:val="24"/>
        </w:rPr>
      </w:pPr>
    </w:p>
    <w:sectPr w:rsidR="00F71439" w:rsidSect="008A21C6">
      <w:headerReference w:type="even" r:id="rId10"/>
      <w:headerReference w:type="default" r:id="rId11"/>
      <w:footerReference w:type="even" r:id="rId12"/>
      <w:footerReference w:type="default" r:id="rId13"/>
      <w:headerReference w:type="first" r:id="rId14"/>
      <w:footerReference w:type="first" r:id="rId15"/>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7C50" w:rsidRDefault="003D7C50">
      <w:r>
        <w:separator/>
      </w:r>
    </w:p>
  </w:endnote>
  <w:endnote w:type="continuationSeparator" w:id="0">
    <w:p w:rsidR="003D7C50" w:rsidRDefault="003D7C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478E" w:rsidRDefault="00B6478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49BF" w:rsidRPr="003D6757" w:rsidRDefault="00C049BF" w:rsidP="00FA74C6">
    <w:pPr>
      <w:widowControl w:val="0"/>
      <w:spacing w:line="310" w:lineRule="exact"/>
      <w:rPr>
        <w:rFonts w:ascii="Times New Roman" w:hAnsi="Times New Roman" w:cs="Times New Roman"/>
        <w:color w:val="000000"/>
        <w:sz w:val="18"/>
        <w:szCs w:val="18"/>
      </w:rPr>
    </w:pPr>
    <w:r w:rsidRPr="003D6757">
      <w:rPr>
        <w:rFonts w:ascii="Times New Roman" w:hAnsi="Times New Roman" w:cs="Times New Roman"/>
        <w:color w:val="000000"/>
        <w:sz w:val="18"/>
        <w:szCs w:val="18"/>
      </w:rPr>
      <w:t xml:space="preserve">NERC Compliance Questionnaire and Reliability Standard Audit Worksheet </w:t>
    </w:r>
  </w:p>
  <w:p w:rsidR="00C049BF" w:rsidRPr="003D6757" w:rsidRDefault="00C049BF" w:rsidP="00FA74C6">
    <w:pPr>
      <w:widowControl w:val="0"/>
      <w:spacing w:line="220" w:lineRule="exact"/>
      <w:rPr>
        <w:rFonts w:ascii="Times New Roman" w:hAnsi="Times New Roman" w:cs="Times New Roman"/>
        <w:color w:val="000000"/>
        <w:sz w:val="18"/>
        <w:szCs w:val="18"/>
      </w:rPr>
    </w:pPr>
    <w:r w:rsidRPr="003D6757">
      <w:rPr>
        <w:rFonts w:ascii="Times New Roman" w:hAnsi="Times New Roman" w:cs="Times New Roman"/>
        <w:color w:val="000000"/>
        <w:sz w:val="18"/>
        <w:szCs w:val="18"/>
      </w:rPr>
      <w:t>Compliance Enforcement Authority: _____________</w:t>
    </w:r>
  </w:p>
  <w:p w:rsidR="00C049BF" w:rsidRDefault="00C049BF" w:rsidP="00FA74C6">
    <w:pPr>
      <w:widowControl w:val="0"/>
      <w:spacing w:line="220" w:lineRule="exact"/>
      <w:rPr>
        <w:rFonts w:ascii="Times New Roman" w:hAnsi="Times New Roman" w:cs="Times New Roman"/>
        <w:color w:val="000000"/>
        <w:sz w:val="18"/>
        <w:szCs w:val="18"/>
      </w:rPr>
    </w:pPr>
    <w:r w:rsidRPr="003D6757">
      <w:rPr>
        <w:rFonts w:ascii="Times New Roman" w:hAnsi="Times New Roman" w:cs="Times New Roman"/>
        <w:color w:val="000000"/>
        <w:sz w:val="18"/>
        <w:szCs w:val="18"/>
      </w:rPr>
      <w:t>Registered Entity:___________________</w:t>
    </w:r>
    <w:r w:rsidRPr="003D6757">
      <w:rPr>
        <w:rFonts w:ascii="Times New Roman" w:hAnsi="Times New Roman" w:cs="Times New Roman"/>
        <w:color w:val="000000"/>
        <w:sz w:val="18"/>
        <w:szCs w:val="18"/>
      </w:rPr>
      <w:tab/>
    </w:r>
    <w:r w:rsidRPr="003D6757">
      <w:rPr>
        <w:rFonts w:ascii="Times New Roman" w:hAnsi="Times New Roman" w:cs="Times New Roman"/>
        <w:color w:val="000000"/>
        <w:sz w:val="18"/>
        <w:szCs w:val="18"/>
      </w:rPr>
      <w:tab/>
    </w:r>
  </w:p>
  <w:p w:rsidR="00C049BF" w:rsidRPr="003D6757" w:rsidRDefault="00C049BF" w:rsidP="00FA74C6">
    <w:pPr>
      <w:widowControl w:val="0"/>
      <w:spacing w:line="220" w:lineRule="exact"/>
      <w:rPr>
        <w:rFonts w:ascii="Times New Roman" w:hAnsi="Times New Roman" w:cs="Times New Roman"/>
        <w:color w:val="000000"/>
        <w:sz w:val="18"/>
        <w:szCs w:val="18"/>
      </w:rPr>
    </w:pPr>
    <w:r w:rsidRPr="003D6757">
      <w:rPr>
        <w:rFonts w:ascii="Times New Roman" w:hAnsi="Times New Roman" w:cs="Times New Roman"/>
        <w:color w:val="000000"/>
        <w:sz w:val="18"/>
        <w:szCs w:val="18"/>
      </w:rPr>
      <w:t xml:space="preserve">NCR Number:______________________ </w:t>
    </w:r>
  </w:p>
  <w:p w:rsidR="00C049BF" w:rsidRDefault="00C049BF" w:rsidP="00FA74C6">
    <w:pPr>
      <w:widowControl w:val="0"/>
      <w:spacing w:line="220" w:lineRule="exact"/>
      <w:rPr>
        <w:rFonts w:ascii="Times New Roman" w:hAnsi="Times New Roman" w:cs="Times New Roman"/>
        <w:color w:val="000000"/>
        <w:sz w:val="18"/>
        <w:szCs w:val="18"/>
      </w:rPr>
    </w:pPr>
    <w:r w:rsidRPr="003D6757">
      <w:rPr>
        <w:rFonts w:ascii="Times New Roman" w:hAnsi="Times New Roman" w:cs="Times New Roman"/>
        <w:color w:val="000000"/>
        <w:sz w:val="18"/>
        <w:szCs w:val="18"/>
      </w:rPr>
      <w:t xml:space="preserve">Compliance Assessment Date:_____________ </w:t>
    </w:r>
  </w:p>
  <w:p w:rsidR="00C049BF" w:rsidRPr="004F5E52" w:rsidRDefault="00C049BF" w:rsidP="00475BC5">
    <w:pPr>
      <w:widowControl w:val="0"/>
      <w:rPr>
        <w:rFonts w:ascii="Times New Roman" w:hAnsi="Times New Roman"/>
        <w:sz w:val="18"/>
        <w:szCs w:val="18"/>
      </w:rPr>
    </w:pPr>
    <w:r w:rsidRPr="004F5E52">
      <w:rPr>
        <w:rFonts w:ascii="Times New Roman" w:hAnsi="Times New Roman" w:cs="Times New Roman"/>
        <w:color w:val="000000"/>
        <w:sz w:val="18"/>
        <w:szCs w:val="18"/>
      </w:rPr>
      <w:t xml:space="preserve">RSAW Version: </w:t>
    </w:r>
    <w:r w:rsidRPr="004F5E52">
      <w:rPr>
        <w:rFonts w:ascii="Times New Roman" w:hAnsi="Times New Roman"/>
        <w:sz w:val="18"/>
        <w:szCs w:val="18"/>
      </w:rPr>
      <w:t>RSAW_CIP-</w:t>
    </w:r>
    <w:r>
      <w:rPr>
        <w:rFonts w:ascii="Times New Roman" w:hAnsi="Times New Roman"/>
        <w:sz w:val="18"/>
        <w:szCs w:val="18"/>
      </w:rPr>
      <w:t>002-3</w:t>
    </w:r>
    <w:r w:rsidRPr="004F5E52">
      <w:rPr>
        <w:rFonts w:ascii="Times New Roman" w:hAnsi="Times New Roman"/>
        <w:sz w:val="18"/>
        <w:szCs w:val="18"/>
      </w:rPr>
      <w:t>_20</w:t>
    </w:r>
    <w:r>
      <w:rPr>
        <w:rFonts w:ascii="Times New Roman" w:hAnsi="Times New Roman"/>
        <w:sz w:val="18"/>
        <w:szCs w:val="18"/>
      </w:rPr>
      <w:t>10</w:t>
    </w:r>
    <w:r w:rsidRPr="004F5E52">
      <w:rPr>
        <w:rFonts w:ascii="Times New Roman" w:hAnsi="Times New Roman"/>
        <w:sz w:val="18"/>
        <w:szCs w:val="18"/>
      </w:rPr>
      <w:t>_v1</w:t>
    </w:r>
  </w:p>
  <w:p w:rsidR="00C049BF" w:rsidRPr="004F5E52" w:rsidRDefault="00C049BF" w:rsidP="00475BC5">
    <w:pPr>
      <w:widowControl w:val="0"/>
      <w:rPr>
        <w:rFonts w:ascii="Times New Roman" w:hAnsi="Times New Roman" w:cs="Times New Roman"/>
        <w:color w:val="000000"/>
        <w:sz w:val="18"/>
        <w:szCs w:val="18"/>
      </w:rPr>
    </w:pPr>
    <w:r w:rsidRPr="004F5E52">
      <w:rPr>
        <w:rFonts w:ascii="Times New Roman" w:hAnsi="Times New Roman" w:cs="Times New Roman"/>
        <w:color w:val="000000"/>
        <w:sz w:val="18"/>
        <w:szCs w:val="18"/>
      </w:rPr>
      <w:t xml:space="preserve">Revision Date: </w:t>
    </w:r>
    <w:r>
      <w:rPr>
        <w:rFonts w:ascii="Times New Roman" w:hAnsi="Times New Roman" w:cs="Times New Roman"/>
        <w:color w:val="000000"/>
        <w:sz w:val="18"/>
        <w:szCs w:val="18"/>
      </w:rPr>
      <w:t>August 2010</w:t>
    </w:r>
  </w:p>
  <w:p w:rsidR="00C049BF" w:rsidRPr="003D6757" w:rsidRDefault="00C049BF" w:rsidP="00B66109">
    <w:pPr>
      <w:widowControl w:val="0"/>
      <w:spacing w:line="244" w:lineRule="exact"/>
      <w:jc w:val="center"/>
      <w:rPr>
        <w:rFonts w:ascii="Times New Roman" w:hAnsi="Times New Roman" w:cs="Times New Roman"/>
      </w:rPr>
    </w:pPr>
    <w:r w:rsidRPr="003D6757">
      <w:rPr>
        <w:rStyle w:val="PageNumber"/>
        <w:rFonts w:ascii="Times New Roman" w:hAnsi="Times New Roman" w:cs="Times New Roman"/>
      </w:rPr>
      <w:fldChar w:fldCharType="begin"/>
    </w:r>
    <w:r w:rsidRPr="003D6757">
      <w:rPr>
        <w:rStyle w:val="PageNumber"/>
        <w:rFonts w:ascii="Times New Roman" w:hAnsi="Times New Roman" w:cs="Times New Roman"/>
      </w:rPr>
      <w:instrText xml:space="preserve"> PAGE </w:instrText>
    </w:r>
    <w:r w:rsidRPr="003D6757">
      <w:rPr>
        <w:rStyle w:val="PageNumber"/>
        <w:rFonts w:ascii="Times New Roman" w:hAnsi="Times New Roman" w:cs="Times New Roman"/>
      </w:rPr>
      <w:fldChar w:fldCharType="separate"/>
    </w:r>
    <w:r w:rsidR="00E06340">
      <w:rPr>
        <w:rStyle w:val="PageNumber"/>
        <w:rFonts w:ascii="Times New Roman" w:hAnsi="Times New Roman" w:cs="Times New Roman"/>
        <w:noProof/>
      </w:rPr>
      <w:t>1</w:t>
    </w:r>
    <w:r w:rsidRPr="003D6757">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478E" w:rsidRDefault="00B6478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7C50" w:rsidRDefault="003D7C50">
      <w:r>
        <w:separator/>
      </w:r>
    </w:p>
  </w:footnote>
  <w:footnote w:type="continuationSeparator" w:id="0">
    <w:p w:rsidR="003D7C50" w:rsidRDefault="003D7C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478E" w:rsidRDefault="00B6478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49BF" w:rsidRDefault="00C049BF">
    <w:pPr>
      <w:widowControl w:val="0"/>
      <w:spacing w:before="66"/>
      <w:rPr>
        <w:rFonts w:cs="Times New Roman"/>
      </w:rPr>
    </w:pPr>
  </w:p>
  <w:p w:rsidR="00C049BF" w:rsidRPr="006813F3" w:rsidRDefault="00C049BF" w:rsidP="0060214B">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C049BF" w:rsidRPr="006813F3" w:rsidRDefault="00B6478E" w:rsidP="0060214B">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C049BF" w:rsidRDefault="009A2CCB">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C049BF" w:rsidRDefault="00C049BF">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478E" w:rsidRDefault="00B6478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759750A"/>
    <w:multiLevelType w:val="hybridMultilevel"/>
    <w:tmpl w:val="3FE63678"/>
    <w:lvl w:ilvl="0" w:tplc="FFFFFFFF">
      <w:start w:val="1"/>
      <w:numFmt w:val="ideographDigital"/>
      <w:lvlText w:val=""/>
      <w:lvlJc w:val="left"/>
    </w:lvl>
    <w:lvl w:ilvl="1" w:tplc="FFFFFFFF">
      <w:start w:val="1"/>
      <w:numFmt w:val="ideographDigital"/>
      <w:lvlText w:val=""/>
      <w:lvlJc w:val="left"/>
    </w:lvl>
    <w:lvl w:ilvl="2" w:tplc="FFFFFFFF">
      <w:start w:val="1"/>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FFFFFF88"/>
    <w:multiLevelType w:val="singleLevel"/>
    <w:tmpl w:val="35E4B840"/>
    <w:lvl w:ilvl="0">
      <w:start w:val="1"/>
      <w:numFmt w:val="decimal"/>
      <w:pStyle w:val="ListNumber"/>
      <w:lvlText w:val="%1."/>
      <w:lvlJc w:val="left"/>
      <w:pPr>
        <w:tabs>
          <w:tab w:val="num" w:pos="360"/>
        </w:tabs>
        <w:ind w:left="360" w:hanging="360"/>
      </w:pPr>
    </w:lvl>
  </w:abstractNum>
  <w:abstractNum w:abstractNumId="2">
    <w:nsid w:val="060B0DC0"/>
    <w:multiLevelType w:val="hybridMultilevel"/>
    <w:tmpl w:val="A6E07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16318C"/>
    <w:multiLevelType w:val="multilevel"/>
    <w:tmpl w:val="A3823A3E"/>
    <w:numStyleLink w:val="RSAW"/>
  </w:abstractNum>
  <w:abstractNum w:abstractNumId="4">
    <w:nsid w:val="0BDE713F"/>
    <w:multiLevelType w:val="hybridMultilevel"/>
    <w:tmpl w:val="33EC70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F1F4907"/>
    <w:multiLevelType w:val="hybridMultilevel"/>
    <w:tmpl w:val="8E247D06"/>
    <w:lvl w:ilvl="0" w:tplc="8396A5A8">
      <w:start w:val="1"/>
      <w:numFmt w:val="bullet"/>
      <w:lvlText w:val=""/>
      <w:lvlJc w:val="left"/>
      <w:pPr>
        <w:tabs>
          <w:tab w:val="num" w:pos="1710"/>
        </w:tabs>
        <w:ind w:left="1710" w:hanging="360"/>
      </w:pPr>
      <w:rPr>
        <w:rFonts w:ascii="Symbol" w:hAnsi="Symbol" w:hint="default"/>
      </w:rPr>
    </w:lvl>
    <w:lvl w:ilvl="1" w:tplc="C8645828" w:tentative="1">
      <w:start w:val="1"/>
      <w:numFmt w:val="bullet"/>
      <w:lvlText w:val="o"/>
      <w:lvlJc w:val="left"/>
      <w:pPr>
        <w:tabs>
          <w:tab w:val="num" w:pos="2430"/>
        </w:tabs>
        <w:ind w:left="2430" w:hanging="360"/>
      </w:pPr>
      <w:rPr>
        <w:rFonts w:ascii="Courier New" w:hAnsi="Courier New" w:cs="Courier New" w:hint="default"/>
      </w:rPr>
    </w:lvl>
    <w:lvl w:ilvl="2" w:tplc="793681D0">
      <w:start w:val="1"/>
      <w:numFmt w:val="bullet"/>
      <w:lvlText w:val=""/>
      <w:lvlJc w:val="left"/>
      <w:pPr>
        <w:tabs>
          <w:tab w:val="num" w:pos="3150"/>
        </w:tabs>
        <w:ind w:left="3150" w:hanging="360"/>
      </w:pPr>
      <w:rPr>
        <w:rFonts w:ascii="Wingdings" w:hAnsi="Wingdings" w:hint="default"/>
      </w:rPr>
    </w:lvl>
    <w:lvl w:ilvl="3" w:tplc="B0C4D48A" w:tentative="1">
      <w:start w:val="1"/>
      <w:numFmt w:val="bullet"/>
      <w:lvlText w:val=""/>
      <w:lvlJc w:val="left"/>
      <w:pPr>
        <w:tabs>
          <w:tab w:val="num" w:pos="3870"/>
        </w:tabs>
        <w:ind w:left="3870" w:hanging="360"/>
      </w:pPr>
      <w:rPr>
        <w:rFonts w:ascii="Symbol" w:hAnsi="Symbol" w:hint="default"/>
      </w:rPr>
    </w:lvl>
    <w:lvl w:ilvl="4" w:tplc="2EB8C0BE" w:tentative="1">
      <w:start w:val="1"/>
      <w:numFmt w:val="bullet"/>
      <w:lvlText w:val="o"/>
      <w:lvlJc w:val="left"/>
      <w:pPr>
        <w:tabs>
          <w:tab w:val="num" w:pos="4590"/>
        </w:tabs>
        <w:ind w:left="4590" w:hanging="360"/>
      </w:pPr>
      <w:rPr>
        <w:rFonts w:ascii="Courier New" w:hAnsi="Courier New" w:cs="Courier New" w:hint="default"/>
      </w:rPr>
    </w:lvl>
    <w:lvl w:ilvl="5" w:tplc="CB68CA80" w:tentative="1">
      <w:start w:val="1"/>
      <w:numFmt w:val="bullet"/>
      <w:lvlText w:val=""/>
      <w:lvlJc w:val="left"/>
      <w:pPr>
        <w:tabs>
          <w:tab w:val="num" w:pos="5310"/>
        </w:tabs>
        <w:ind w:left="5310" w:hanging="360"/>
      </w:pPr>
      <w:rPr>
        <w:rFonts w:ascii="Wingdings" w:hAnsi="Wingdings" w:hint="default"/>
      </w:rPr>
    </w:lvl>
    <w:lvl w:ilvl="6" w:tplc="37C27666" w:tentative="1">
      <w:start w:val="1"/>
      <w:numFmt w:val="bullet"/>
      <w:lvlText w:val=""/>
      <w:lvlJc w:val="left"/>
      <w:pPr>
        <w:tabs>
          <w:tab w:val="num" w:pos="6030"/>
        </w:tabs>
        <w:ind w:left="6030" w:hanging="360"/>
      </w:pPr>
      <w:rPr>
        <w:rFonts w:ascii="Symbol" w:hAnsi="Symbol" w:hint="default"/>
      </w:rPr>
    </w:lvl>
    <w:lvl w:ilvl="7" w:tplc="8F4840CA" w:tentative="1">
      <w:start w:val="1"/>
      <w:numFmt w:val="bullet"/>
      <w:lvlText w:val="o"/>
      <w:lvlJc w:val="left"/>
      <w:pPr>
        <w:tabs>
          <w:tab w:val="num" w:pos="6750"/>
        </w:tabs>
        <w:ind w:left="6750" w:hanging="360"/>
      </w:pPr>
      <w:rPr>
        <w:rFonts w:ascii="Courier New" w:hAnsi="Courier New" w:cs="Courier New" w:hint="default"/>
      </w:rPr>
    </w:lvl>
    <w:lvl w:ilvl="8" w:tplc="1262A9A8" w:tentative="1">
      <w:start w:val="1"/>
      <w:numFmt w:val="bullet"/>
      <w:lvlText w:val=""/>
      <w:lvlJc w:val="left"/>
      <w:pPr>
        <w:tabs>
          <w:tab w:val="num" w:pos="7470"/>
        </w:tabs>
        <w:ind w:left="7470" w:hanging="360"/>
      </w:pPr>
      <w:rPr>
        <w:rFonts w:ascii="Wingdings" w:hAnsi="Wingdings" w:hint="default"/>
      </w:rPr>
    </w:lvl>
  </w:abstractNum>
  <w:abstractNum w:abstractNumId="6">
    <w:nsid w:val="16DF186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1C440902"/>
    <w:multiLevelType w:val="multilevel"/>
    <w:tmpl w:val="A3823A3E"/>
    <w:numStyleLink w:val="RSAW"/>
  </w:abstractNum>
  <w:abstractNum w:abstractNumId="8">
    <w:nsid w:val="268FA989"/>
    <w:multiLevelType w:val="hybridMultilevel"/>
    <w:tmpl w:val="1B1F9A0D"/>
    <w:lvl w:ilvl="0" w:tplc="DBC847CC">
      <w:start w:val="1"/>
      <w:numFmt w:val="ideographDigital"/>
      <w:lvlText w:val=""/>
      <w:lvlJc w:val="left"/>
    </w:lvl>
    <w:lvl w:ilvl="1" w:tplc="EF46110C">
      <w:start w:val="1"/>
      <w:numFmt w:val="ideographDigital"/>
      <w:lvlText w:val=""/>
      <w:lvlJc w:val="left"/>
    </w:lvl>
    <w:lvl w:ilvl="2" w:tplc="4BB257F2">
      <w:start w:val="1"/>
      <w:numFmt w:val="decimal"/>
      <w:lvlText w:val=""/>
      <w:lvlJc w:val="left"/>
    </w:lvl>
    <w:lvl w:ilvl="3" w:tplc="6D001A5C">
      <w:numFmt w:val="decimal"/>
      <w:lvlText w:val=""/>
      <w:lvlJc w:val="left"/>
    </w:lvl>
    <w:lvl w:ilvl="4" w:tplc="BF0CC3E4">
      <w:numFmt w:val="decimal"/>
      <w:lvlText w:val=""/>
      <w:lvlJc w:val="left"/>
    </w:lvl>
    <w:lvl w:ilvl="5" w:tplc="A62C4E24">
      <w:numFmt w:val="decimal"/>
      <w:lvlText w:val=""/>
      <w:lvlJc w:val="left"/>
    </w:lvl>
    <w:lvl w:ilvl="6" w:tplc="282EB9B6">
      <w:numFmt w:val="decimal"/>
      <w:lvlText w:val=""/>
      <w:lvlJc w:val="left"/>
    </w:lvl>
    <w:lvl w:ilvl="7" w:tplc="2B3E740E">
      <w:numFmt w:val="decimal"/>
      <w:lvlText w:val=""/>
      <w:lvlJc w:val="left"/>
    </w:lvl>
    <w:lvl w:ilvl="8" w:tplc="A47CD5DC">
      <w:numFmt w:val="decimal"/>
      <w:lvlText w:val=""/>
      <w:lvlJc w:val="left"/>
    </w:lvl>
  </w:abstractNum>
  <w:abstractNum w:abstractNumId="9">
    <w:nsid w:val="2D886646"/>
    <w:multiLevelType w:val="multilevel"/>
    <w:tmpl w:val="A3823A3E"/>
    <w:styleLink w:val="RSAW"/>
    <w:lvl w:ilvl="0">
      <w:start w:val="1"/>
      <w:numFmt w:val="bullet"/>
      <w:lvlText w:val=""/>
      <w:lvlJc w:val="left"/>
      <w:pPr>
        <w:ind w:left="1440" w:hanging="720"/>
      </w:pPr>
      <w:rPr>
        <w:rFonts w:ascii="Wingdings" w:hAnsi="Wingdings" w:hint="default"/>
        <w:sz w:val="28"/>
      </w:rPr>
    </w:lvl>
    <w:lvl w:ilvl="1">
      <w:start w:val="1"/>
      <w:numFmt w:val="bullet"/>
      <w:lvlText w:val=""/>
      <w:lvlJc w:val="left"/>
      <w:pPr>
        <w:ind w:left="2160" w:hanging="720"/>
      </w:pPr>
      <w:rPr>
        <w:rFonts w:ascii="Wingdings" w:hAnsi="Wingdings" w:hint="default"/>
        <w:sz w:val="28"/>
      </w:rPr>
    </w:lvl>
    <w:lvl w:ilvl="2">
      <w:start w:val="1"/>
      <w:numFmt w:val="bullet"/>
      <w:lvlText w:val=""/>
      <w:lvlJc w:val="left"/>
      <w:pPr>
        <w:ind w:left="2880" w:hanging="720"/>
      </w:pPr>
      <w:rPr>
        <w:rFonts w:ascii="Wingdings" w:hAnsi="Wingdings" w:hint="default"/>
      </w:rPr>
    </w:lvl>
    <w:lvl w:ilvl="3">
      <w:start w:val="1"/>
      <w:numFmt w:val="bullet"/>
      <w:lvlText w:val=""/>
      <w:lvlJc w:val="left"/>
      <w:pPr>
        <w:ind w:left="3600" w:hanging="720"/>
      </w:pPr>
      <w:rPr>
        <w:rFonts w:ascii="Wingdings" w:hAnsi="Wingdings" w:hint="default"/>
      </w:rPr>
    </w:lvl>
    <w:lvl w:ilvl="4">
      <w:start w:val="1"/>
      <w:numFmt w:val="lowerLetter"/>
      <w:lvlText w:val="(%5)"/>
      <w:lvlJc w:val="left"/>
      <w:pPr>
        <w:ind w:left="4320" w:hanging="720"/>
      </w:pPr>
      <w:rPr>
        <w:rFonts w:hint="default"/>
      </w:rPr>
    </w:lvl>
    <w:lvl w:ilvl="5">
      <w:start w:val="1"/>
      <w:numFmt w:val="lowerRoman"/>
      <w:lvlText w:val="(%6)"/>
      <w:lvlJc w:val="left"/>
      <w:pPr>
        <w:ind w:left="5040" w:hanging="720"/>
      </w:pPr>
      <w:rPr>
        <w:rFonts w:hint="default"/>
      </w:rPr>
    </w:lvl>
    <w:lvl w:ilvl="6">
      <w:start w:val="1"/>
      <w:numFmt w:val="decimal"/>
      <w:lvlText w:val="%7."/>
      <w:lvlJc w:val="left"/>
      <w:pPr>
        <w:ind w:left="5760" w:hanging="720"/>
      </w:pPr>
      <w:rPr>
        <w:rFonts w:hint="default"/>
      </w:rPr>
    </w:lvl>
    <w:lvl w:ilvl="7">
      <w:start w:val="1"/>
      <w:numFmt w:val="lowerLetter"/>
      <w:lvlText w:val="%8."/>
      <w:lvlJc w:val="left"/>
      <w:pPr>
        <w:ind w:left="6480" w:hanging="720"/>
      </w:pPr>
      <w:rPr>
        <w:rFonts w:hint="default"/>
      </w:rPr>
    </w:lvl>
    <w:lvl w:ilvl="8">
      <w:start w:val="1"/>
      <w:numFmt w:val="lowerRoman"/>
      <w:lvlText w:val="%9."/>
      <w:lvlJc w:val="left"/>
      <w:pPr>
        <w:ind w:left="7200" w:hanging="720"/>
      </w:pPr>
      <w:rPr>
        <w:rFonts w:hint="default"/>
      </w:rPr>
    </w:lvl>
  </w:abstractNum>
  <w:abstractNum w:abstractNumId="10">
    <w:nsid w:val="39C33DF5"/>
    <w:multiLevelType w:val="multilevel"/>
    <w:tmpl w:val="A3823A3E"/>
    <w:numStyleLink w:val="RSAW"/>
  </w:abstractNum>
  <w:abstractNum w:abstractNumId="11">
    <w:nsid w:val="4603329F"/>
    <w:multiLevelType w:val="multilevel"/>
    <w:tmpl w:val="D108C6A0"/>
    <w:lvl w:ilvl="0">
      <w:start w:val="1"/>
      <w:numFmt w:val="decimal"/>
      <w:lvlText w:val="R%1."/>
      <w:lvlJc w:val="left"/>
      <w:pPr>
        <w:tabs>
          <w:tab w:val="num" w:pos="576"/>
        </w:tabs>
        <w:ind w:left="576" w:hanging="576"/>
      </w:pPr>
      <w:rPr>
        <w:rFonts w:hint="default"/>
        <w:b/>
        <w:i w:val="0"/>
        <w:sz w:val="22"/>
        <w:szCs w:val="22"/>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2">
    <w:nsid w:val="4A0E3A79"/>
    <w:multiLevelType w:val="multilevel"/>
    <w:tmpl w:val="A3823A3E"/>
    <w:numStyleLink w:val="RSAW"/>
  </w:abstractNum>
  <w:abstractNum w:abstractNumId="13">
    <w:nsid w:val="53564DF2"/>
    <w:multiLevelType w:val="multilevel"/>
    <w:tmpl w:val="A3823A3E"/>
    <w:numStyleLink w:val="RSAW"/>
  </w:abstractNum>
  <w:abstractNum w:abstractNumId="14">
    <w:nsid w:val="54574E1D"/>
    <w:multiLevelType w:val="multilevel"/>
    <w:tmpl w:val="E248854A"/>
    <w:lvl w:ilvl="0">
      <w:start w:val="1"/>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2."/>
      <w:lvlJc w:val="left"/>
      <w:pPr>
        <w:tabs>
          <w:tab w:val="num" w:pos="1008"/>
        </w:tabs>
        <w:ind w:left="1008" w:hanging="504"/>
      </w:pPr>
      <w:rPr>
        <w:rFonts w:ascii="Times New Roman" w:hAnsi="Times New Roman" w:hint="default"/>
        <w:b/>
        <w:i w:val="0"/>
        <w:sz w:val="22"/>
        <w:szCs w:val="22"/>
      </w:rPr>
    </w:lvl>
    <w:lvl w:ilvl="2">
      <w:start w:val="1"/>
      <w:numFmt w:val="decimal"/>
      <w:lvlText w:val="%2.%3."/>
      <w:lvlJc w:val="left"/>
      <w:pPr>
        <w:tabs>
          <w:tab w:val="num" w:pos="1656"/>
        </w:tabs>
        <w:ind w:left="1656" w:hanging="648"/>
      </w:pPr>
      <w:rPr>
        <w:rFonts w:ascii="Times New Roman" w:hAnsi="Times New Roman" w:hint="default"/>
        <w:b/>
        <w:i w:val="0"/>
        <w:sz w:val="22"/>
        <w:szCs w:val="22"/>
      </w:rPr>
    </w:lvl>
    <w:lvl w:ilvl="3">
      <w:start w:val="1"/>
      <w:numFmt w:val="decimal"/>
      <w:lvlText w:val="%3.%2.%4."/>
      <w:lvlJc w:val="left"/>
      <w:pPr>
        <w:tabs>
          <w:tab w:val="num" w:pos="2448"/>
        </w:tabs>
        <w:ind w:left="2448" w:hanging="792"/>
      </w:pPr>
      <w:rPr>
        <w:rFonts w:ascii="Times New Roman" w:hAnsi="Times New Roman" w:hint="default"/>
        <w:b/>
        <w:i w:val="0"/>
        <w:sz w:val="22"/>
        <w:szCs w:val="22"/>
      </w:rPr>
    </w:lvl>
    <w:lvl w:ilvl="4">
      <w:start w:val="1"/>
      <w:numFmt w:val="none"/>
      <w:lvlText w:val="%5."/>
      <w:lvlJc w:val="left"/>
      <w:pPr>
        <w:tabs>
          <w:tab w:val="num" w:pos="3600"/>
        </w:tabs>
        <w:ind w:left="3600" w:hanging="36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abstractNum w:abstractNumId="15">
    <w:nsid w:val="5AE07B5E"/>
    <w:multiLevelType w:val="hybridMultilevel"/>
    <w:tmpl w:val="29AACC22"/>
    <w:lvl w:ilvl="0" w:tplc="82544E4A">
      <w:start w:val="1"/>
      <w:numFmt w:val="decimal"/>
      <w:lvlText w:val="%1."/>
      <w:lvlJc w:val="left"/>
      <w:pPr>
        <w:tabs>
          <w:tab w:val="num" w:pos="720"/>
        </w:tabs>
        <w:ind w:left="720" w:hanging="360"/>
      </w:pPr>
    </w:lvl>
    <w:lvl w:ilvl="1" w:tplc="BFF81DB4">
      <w:start w:val="1"/>
      <w:numFmt w:val="lowerLetter"/>
      <w:lvlText w:val="%2."/>
      <w:lvlJc w:val="left"/>
      <w:pPr>
        <w:tabs>
          <w:tab w:val="num" w:pos="1440"/>
        </w:tabs>
        <w:ind w:left="1440" w:hanging="360"/>
      </w:pPr>
    </w:lvl>
    <w:lvl w:ilvl="2" w:tplc="CC5EEF42" w:tentative="1">
      <w:start w:val="1"/>
      <w:numFmt w:val="lowerRoman"/>
      <w:lvlText w:val="%3."/>
      <w:lvlJc w:val="right"/>
      <w:pPr>
        <w:tabs>
          <w:tab w:val="num" w:pos="2160"/>
        </w:tabs>
        <w:ind w:left="2160" w:hanging="180"/>
      </w:pPr>
    </w:lvl>
    <w:lvl w:ilvl="3" w:tplc="6194F2B8" w:tentative="1">
      <w:start w:val="1"/>
      <w:numFmt w:val="decimal"/>
      <w:lvlText w:val="%4."/>
      <w:lvlJc w:val="left"/>
      <w:pPr>
        <w:tabs>
          <w:tab w:val="num" w:pos="2880"/>
        </w:tabs>
        <w:ind w:left="2880" w:hanging="360"/>
      </w:pPr>
    </w:lvl>
    <w:lvl w:ilvl="4" w:tplc="1AE4FAF0" w:tentative="1">
      <w:start w:val="1"/>
      <w:numFmt w:val="lowerLetter"/>
      <w:lvlText w:val="%5."/>
      <w:lvlJc w:val="left"/>
      <w:pPr>
        <w:tabs>
          <w:tab w:val="num" w:pos="3600"/>
        </w:tabs>
        <w:ind w:left="3600" w:hanging="360"/>
      </w:pPr>
    </w:lvl>
    <w:lvl w:ilvl="5" w:tplc="701C7862" w:tentative="1">
      <w:start w:val="1"/>
      <w:numFmt w:val="lowerRoman"/>
      <w:lvlText w:val="%6."/>
      <w:lvlJc w:val="right"/>
      <w:pPr>
        <w:tabs>
          <w:tab w:val="num" w:pos="4320"/>
        </w:tabs>
        <w:ind w:left="4320" w:hanging="180"/>
      </w:pPr>
    </w:lvl>
    <w:lvl w:ilvl="6" w:tplc="C8BA1C16" w:tentative="1">
      <w:start w:val="1"/>
      <w:numFmt w:val="decimal"/>
      <w:lvlText w:val="%7."/>
      <w:lvlJc w:val="left"/>
      <w:pPr>
        <w:tabs>
          <w:tab w:val="num" w:pos="5040"/>
        </w:tabs>
        <w:ind w:left="5040" w:hanging="360"/>
      </w:pPr>
    </w:lvl>
    <w:lvl w:ilvl="7" w:tplc="F1AABE74" w:tentative="1">
      <w:start w:val="1"/>
      <w:numFmt w:val="lowerLetter"/>
      <w:lvlText w:val="%8."/>
      <w:lvlJc w:val="left"/>
      <w:pPr>
        <w:tabs>
          <w:tab w:val="num" w:pos="5760"/>
        </w:tabs>
        <w:ind w:left="5760" w:hanging="360"/>
      </w:pPr>
    </w:lvl>
    <w:lvl w:ilvl="8" w:tplc="0CA43E2E" w:tentative="1">
      <w:start w:val="1"/>
      <w:numFmt w:val="lowerRoman"/>
      <w:lvlText w:val="%9."/>
      <w:lvlJc w:val="right"/>
      <w:pPr>
        <w:tabs>
          <w:tab w:val="num" w:pos="6480"/>
        </w:tabs>
        <w:ind w:left="6480" w:hanging="180"/>
      </w:pPr>
    </w:lvl>
  </w:abstractNum>
  <w:abstractNum w:abstractNumId="16">
    <w:nsid w:val="61280DF1"/>
    <w:multiLevelType w:val="multilevel"/>
    <w:tmpl w:val="4B9E5BDA"/>
    <w:lvl w:ilvl="0">
      <w:start w:val="2"/>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R%2."/>
      <w:lvlJc w:val="left"/>
      <w:pPr>
        <w:tabs>
          <w:tab w:val="num" w:pos="1008"/>
        </w:tabs>
        <w:ind w:left="1008" w:hanging="504"/>
      </w:pPr>
      <w:rPr>
        <w:rFonts w:ascii="Times New Roman" w:hAnsi="Times New Roman" w:hint="default"/>
        <w:b/>
        <w:i w:val="0"/>
        <w:sz w:val="22"/>
        <w:szCs w:val="22"/>
      </w:rPr>
    </w:lvl>
    <w:lvl w:ilvl="2">
      <w:start w:val="1"/>
      <w:numFmt w:val="decimal"/>
      <w:lvlText w:val="R%2.%3."/>
      <w:lvlJc w:val="left"/>
      <w:pPr>
        <w:tabs>
          <w:tab w:val="num" w:pos="1656"/>
        </w:tabs>
        <w:ind w:left="1656" w:hanging="648"/>
      </w:pPr>
      <w:rPr>
        <w:rFonts w:ascii="Times New Roman" w:hAnsi="Times New Roman" w:hint="default"/>
        <w:b/>
        <w:i w:val="0"/>
        <w:sz w:val="22"/>
        <w:szCs w:val="22"/>
      </w:rPr>
    </w:lvl>
    <w:lvl w:ilvl="3">
      <w:start w:val="1"/>
      <w:numFmt w:val="decimal"/>
      <w:lvlText w:val="R4.1.%4."/>
      <w:lvlJc w:val="left"/>
      <w:pPr>
        <w:tabs>
          <w:tab w:val="num" w:pos="2448"/>
        </w:tabs>
        <w:ind w:left="2448" w:hanging="792"/>
      </w:pPr>
      <w:rPr>
        <w:rFonts w:ascii="Times New Roman" w:hAnsi="Times New Roman" w:hint="default"/>
        <w:b/>
        <w:i w:val="0"/>
        <w:sz w:val="22"/>
        <w:szCs w:val="22"/>
      </w:rPr>
    </w:lvl>
    <w:lvl w:ilvl="4">
      <w:start w:val="1"/>
      <w:numFmt w:val="lowerLetter"/>
      <w:lvlText w:val="%5)"/>
      <w:lvlJc w:val="left"/>
      <w:pPr>
        <w:tabs>
          <w:tab w:val="num" w:pos="2880"/>
        </w:tabs>
        <w:ind w:left="2880" w:hanging="432"/>
      </w:pPr>
      <w:rPr>
        <w:rFonts w:hint="default"/>
        <w:b w:val="0"/>
        <w:i w:val="0"/>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abstractNum w:abstractNumId="17">
    <w:nsid w:val="63847D69"/>
    <w:multiLevelType w:val="multilevel"/>
    <w:tmpl w:val="A3823A3E"/>
    <w:numStyleLink w:val="RSAW"/>
  </w:abstractNum>
  <w:abstractNum w:abstractNumId="18">
    <w:nsid w:val="64F01B05"/>
    <w:multiLevelType w:val="hybridMultilevel"/>
    <w:tmpl w:val="949004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5ED7588"/>
    <w:multiLevelType w:val="multilevel"/>
    <w:tmpl w:val="A3823A3E"/>
    <w:numStyleLink w:val="RSAW"/>
  </w:abstractNum>
  <w:abstractNum w:abstractNumId="20">
    <w:nsid w:val="741F1DE2"/>
    <w:multiLevelType w:val="multilevel"/>
    <w:tmpl w:val="A3823A3E"/>
    <w:numStyleLink w:val="RSAW"/>
  </w:abstractNum>
  <w:abstractNum w:abstractNumId="21">
    <w:nsid w:val="79CB3F6C"/>
    <w:multiLevelType w:val="hybridMultilevel"/>
    <w:tmpl w:val="8C9CA7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BB528E9"/>
    <w:multiLevelType w:val="multilevel"/>
    <w:tmpl w:val="A3823A3E"/>
    <w:numStyleLink w:val="RSAW"/>
  </w:abstractNum>
  <w:abstractNum w:abstractNumId="23">
    <w:nsid w:val="7E4E4DD3"/>
    <w:multiLevelType w:val="hybridMultilevel"/>
    <w:tmpl w:val="0D025DDA"/>
    <w:lvl w:ilvl="0" w:tplc="5F9430A4">
      <w:start w:val="1"/>
      <w:numFmt w:val="decimal"/>
      <w:pStyle w:val="FERCparanumber"/>
      <w:lvlText w:val="%1."/>
      <w:lvlJc w:val="left"/>
      <w:pPr>
        <w:tabs>
          <w:tab w:val="num" w:pos="720"/>
        </w:tabs>
        <w:ind w:left="0" w:firstLine="0"/>
      </w:pPr>
      <w:rPr>
        <w:rFonts w:hint="default"/>
        <w:b w:val="0"/>
        <w:vertAlign w:val="baseline"/>
      </w:rPr>
    </w:lvl>
    <w:lvl w:ilvl="1" w:tplc="04090001">
      <w:start w:val="1"/>
      <w:numFmt w:val="bullet"/>
      <w:lvlText w:val=""/>
      <w:lvlJc w:val="left"/>
      <w:pPr>
        <w:tabs>
          <w:tab w:val="num" w:pos="1440"/>
        </w:tabs>
        <w:ind w:left="1440" w:hanging="360"/>
      </w:pPr>
      <w:rPr>
        <w:rFonts w:ascii="Symbol" w:hAnsi="Symbol" w:hint="default"/>
        <w:b w:val="0"/>
        <w:vertAlign w:val="baseline"/>
      </w:r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abstractNumId w:val="5"/>
  </w:num>
  <w:num w:numId="2">
    <w:abstractNumId w:val="11"/>
  </w:num>
  <w:num w:numId="3">
    <w:abstractNumId w:val="16"/>
  </w:num>
  <w:num w:numId="4">
    <w:abstractNumId w:val="1"/>
  </w:num>
  <w:num w:numId="5">
    <w:abstractNumId w:val="15"/>
  </w:num>
  <w:num w:numId="6">
    <w:abstractNumId w:val="8"/>
  </w:num>
  <w:num w:numId="7">
    <w:abstractNumId w:val="14"/>
    <w:lvlOverride w:ilvl="0">
      <w:lvl w:ilvl="0">
        <w:start w:val="1"/>
        <w:numFmt w:val="upperLetter"/>
        <w:lvlText w:val="%1."/>
        <w:lvlJc w:val="left"/>
        <w:pPr>
          <w:tabs>
            <w:tab w:val="num" w:pos="504"/>
          </w:tabs>
          <w:ind w:left="504" w:hanging="504"/>
        </w:pPr>
        <w:rPr>
          <w:rFonts w:ascii="Arial Bold" w:hAnsi="Arial Bold" w:hint="default"/>
          <w:b/>
          <w:i w:val="0"/>
          <w:sz w:val="22"/>
          <w:szCs w:val="22"/>
        </w:rPr>
      </w:lvl>
    </w:lvlOverride>
    <w:lvlOverride w:ilvl="1">
      <w:lvl w:ilvl="1">
        <w:start w:val="1"/>
        <w:numFmt w:val="decimal"/>
        <w:lvlText w:val="R%2."/>
        <w:lvlJc w:val="left"/>
        <w:pPr>
          <w:tabs>
            <w:tab w:val="num" w:pos="1008"/>
          </w:tabs>
          <w:ind w:left="1008" w:hanging="504"/>
        </w:pPr>
        <w:rPr>
          <w:rFonts w:ascii="Times New Roman" w:hAnsi="Times New Roman" w:hint="default"/>
          <w:b/>
          <w:i w:val="0"/>
          <w:sz w:val="22"/>
          <w:szCs w:val="22"/>
        </w:rPr>
      </w:lvl>
    </w:lvlOverride>
    <w:lvlOverride w:ilvl="2">
      <w:lvl w:ilvl="2">
        <w:start w:val="1"/>
        <w:numFmt w:val="decimal"/>
        <w:lvlText w:val="R%2.%3."/>
        <w:lvlJc w:val="left"/>
        <w:pPr>
          <w:tabs>
            <w:tab w:val="num" w:pos="1656"/>
          </w:tabs>
          <w:ind w:left="1656" w:hanging="648"/>
        </w:pPr>
        <w:rPr>
          <w:rFonts w:ascii="Times New Roman" w:hAnsi="Times New Roman" w:hint="default"/>
          <w:b/>
          <w:i w:val="0"/>
          <w:sz w:val="22"/>
          <w:szCs w:val="22"/>
        </w:rPr>
      </w:lvl>
    </w:lvlOverride>
    <w:lvlOverride w:ilvl="3">
      <w:lvl w:ilvl="3">
        <w:start w:val="1"/>
        <w:numFmt w:val="decimal"/>
        <w:lvlText w:val="R%3.%2.%4."/>
        <w:lvlJc w:val="left"/>
        <w:pPr>
          <w:tabs>
            <w:tab w:val="num" w:pos="2448"/>
          </w:tabs>
          <w:ind w:left="2448" w:hanging="792"/>
        </w:pPr>
        <w:rPr>
          <w:rFonts w:ascii="Times New Roman" w:hAnsi="Times New Roman" w:hint="default"/>
          <w:b/>
          <w:i w:val="0"/>
          <w:sz w:val="22"/>
          <w:szCs w:val="22"/>
        </w:rPr>
      </w:lvl>
    </w:lvlOverride>
    <w:lvlOverride w:ilvl="4">
      <w:lvl w:ilvl="4">
        <w:start w:val="1"/>
        <w:numFmt w:val="none"/>
        <w:lvlText w:val="%5."/>
        <w:lvlJc w:val="left"/>
        <w:pPr>
          <w:tabs>
            <w:tab w:val="num" w:pos="3600"/>
          </w:tabs>
          <w:ind w:left="3600" w:hanging="360"/>
        </w:pPr>
        <w:rPr>
          <w:rFonts w:hint="default"/>
        </w:rPr>
      </w:lvl>
    </w:lvlOverride>
    <w:lvlOverride w:ilvl="5">
      <w:lvl w:ilvl="5">
        <w:start w:val="1"/>
        <w:numFmt w:val="none"/>
        <w:lvlText w:val="%6."/>
        <w:lvlJc w:val="right"/>
        <w:pPr>
          <w:tabs>
            <w:tab w:val="num" w:pos="4320"/>
          </w:tabs>
          <w:ind w:left="4320" w:hanging="180"/>
        </w:pPr>
        <w:rPr>
          <w:rFonts w:hint="default"/>
        </w:rPr>
      </w:lvl>
    </w:lvlOverride>
    <w:lvlOverride w:ilvl="6">
      <w:lvl w:ilvl="6">
        <w:start w:val="1"/>
        <w:numFmt w:val="none"/>
        <w:lvlText w:val="%7."/>
        <w:lvlJc w:val="left"/>
        <w:pPr>
          <w:tabs>
            <w:tab w:val="num" w:pos="5040"/>
          </w:tabs>
          <w:ind w:left="5040" w:hanging="360"/>
        </w:pPr>
        <w:rPr>
          <w:rFonts w:hint="default"/>
        </w:rPr>
      </w:lvl>
    </w:lvlOverride>
    <w:lvlOverride w:ilvl="7">
      <w:lvl w:ilvl="7">
        <w:start w:val="1"/>
        <w:numFmt w:val="none"/>
        <w:lvlText w:val="%8."/>
        <w:lvlJc w:val="left"/>
        <w:pPr>
          <w:tabs>
            <w:tab w:val="num" w:pos="5760"/>
          </w:tabs>
          <w:ind w:left="5760" w:hanging="360"/>
        </w:pPr>
        <w:rPr>
          <w:rFonts w:hint="default"/>
        </w:rPr>
      </w:lvl>
    </w:lvlOverride>
    <w:lvlOverride w:ilvl="8">
      <w:lvl w:ilvl="8">
        <w:start w:val="1"/>
        <w:numFmt w:val="none"/>
        <w:lvlText w:val="%9."/>
        <w:lvlJc w:val="right"/>
        <w:pPr>
          <w:tabs>
            <w:tab w:val="num" w:pos="6480"/>
          </w:tabs>
          <w:ind w:left="6480" w:hanging="180"/>
        </w:pPr>
        <w:rPr>
          <w:rFonts w:hint="default"/>
        </w:rPr>
      </w:lvl>
    </w:lvlOverride>
  </w:num>
  <w:num w:numId="8">
    <w:abstractNumId w:val="23"/>
  </w:num>
  <w:num w:numId="9">
    <w:abstractNumId w:val="9"/>
  </w:num>
  <w:num w:numId="10">
    <w:abstractNumId w:val="13"/>
  </w:num>
  <w:num w:numId="11">
    <w:abstractNumId w:val="6"/>
  </w:num>
  <w:num w:numId="12">
    <w:abstractNumId w:val="22"/>
  </w:num>
  <w:num w:numId="13">
    <w:abstractNumId w:val="7"/>
  </w:num>
  <w:num w:numId="14">
    <w:abstractNumId w:val="17"/>
  </w:num>
  <w:num w:numId="15">
    <w:abstractNumId w:val="10"/>
    <w:lvlOverride w:ilvl="0">
      <w:lvl w:ilvl="0">
        <w:start w:val="1"/>
        <w:numFmt w:val="bullet"/>
        <w:lvlText w:val=""/>
        <w:lvlJc w:val="left"/>
        <w:pPr>
          <w:ind w:left="2340" w:hanging="720"/>
        </w:pPr>
        <w:rPr>
          <w:rFonts w:ascii="Wingdings" w:hAnsi="Wingdings" w:hint="default"/>
          <w:color w:val="auto"/>
          <w:sz w:val="28"/>
        </w:rPr>
      </w:lvl>
    </w:lvlOverride>
  </w:num>
  <w:num w:numId="16">
    <w:abstractNumId w:val="20"/>
    <w:lvlOverride w:ilvl="0">
      <w:lvl w:ilvl="0">
        <w:start w:val="1"/>
        <w:numFmt w:val="bullet"/>
        <w:lvlText w:val=""/>
        <w:lvlJc w:val="left"/>
        <w:pPr>
          <w:ind w:left="1440" w:hanging="720"/>
        </w:pPr>
        <w:rPr>
          <w:rFonts w:ascii="Wingdings" w:hAnsi="Wingdings" w:hint="default"/>
          <w:color w:val="2E74B5" w:themeColor="accent1" w:themeShade="BF"/>
          <w:sz w:val="28"/>
        </w:rPr>
      </w:lvl>
    </w:lvlOverride>
  </w:num>
  <w:num w:numId="17">
    <w:abstractNumId w:val="19"/>
    <w:lvlOverride w:ilvl="0">
      <w:lvl w:ilvl="0">
        <w:start w:val="1"/>
        <w:numFmt w:val="bullet"/>
        <w:lvlText w:val=""/>
        <w:lvlJc w:val="left"/>
        <w:pPr>
          <w:ind w:left="1440" w:hanging="720"/>
        </w:pPr>
        <w:rPr>
          <w:rFonts w:ascii="Wingdings" w:hAnsi="Wingdings" w:hint="default"/>
          <w:color w:val="auto"/>
          <w:sz w:val="28"/>
        </w:rPr>
      </w:lvl>
    </w:lvlOverride>
  </w:num>
  <w:num w:numId="18">
    <w:abstractNumId w:val="12"/>
  </w:num>
  <w:num w:numId="19">
    <w:abstractNumId w:val="3"/>
    <w:lvlOverride w:ilvl="0">
      <w:lvl w:ilvl="0">
        <w:start w:val="1"/>
        <w:numFmt w:val="bullet"/>
        <w:lvlText w:val=""/>
        <w:lvlJc w:val="left"/>
        <w:pPr>
          <w:ind w:left="1620" w:hanging="720"/>
        </w:pPr>
        <w:rPr>
          <w:rFonts w:ascii="Wingdings" w:hAnsi="Wingdings" w:hint="default"/>
          <w:color w:val="auto"/>
          <w:sz w:val="28"/>
        </w:rPr>
      </w:lvl>
    </w:lvlOverride>
  </w:num>
  <w:num w:numId="20">
    <w:abstractNumId w:val="4"/>
  </w:num>
  <w:num w:numId="21">
    <w:abstractNumId w:val="21"/>
  </w:num>
  <w:num w:numId="22">
    <w:abstractNumId w:val="18"/>
  </w:num>
  <w:num w:numId="23">
    <w:abstractNumId w:val="0"/>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5121"/>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4F3"/>
    <w:rsid w:val="000008D1"/>
    <w:rsid w:val="0000359B"/>
    <w:rsid w:val="00004494"/>
    <w:rsid w:val="0003003D"/>
    <w:rsid w:val="000307C0"/>
    <w:rsid w:val="00071C2C"/>
    <w:rsid w:val="00073091"/>
    <w:rsid w:val="000953BD"/>
    <w:rsid w:val="000A093A"/>
    <w:rsid w:val="000A0A7D"/>
    <w:rsid w:val="000B0099"/>
    <w:rsid w:val="000B1F9F"/>
    <w:rsid w:val="000B6A73"/>
    <w:rsid w:val="000C7D87"/>
    <w:rsid w:val="000E3FAA"/>
    <w:rsid w:val="000E775E"/>
    <w:rsid w:val="000F4946"/>
    <w:rsid w:val="00106D45"/>
    <w:rsid w:val="00112550"/>
    <w:rsid w:val="001237D0"/>
    <w:rsid w:val="00123EFC"/>
    <w:rsid w:val="0013021F"/>
    <w:rsid w:val="001330E7"/>
    <w:rsid w:val="00134E91"/>
    <w:rsid w:val="00137318"/>
    <w:rsid w:val="00137DB2"/>
    <w:rsid w:val="00147533"/>
    <w:rsid w:val="0019356C"/>
    <w:rsid w:val="001A0466"/>
    <w:rsid w:val="001B6A45"/>
    <w:rsid w:val="001C0AB0"/>
    <w:rsid w:val="001F5227"/>
    <w:rsid w:val="002009E8"/>
    <w:rsid w:val="002028C2"/>
    <w:rsid w:val="00205EFC"/>
    <w:rsid w:val="002164C7"/>
    <w:rsid w:val="002366A9"/>
    <w:rsid w:val="0025602F"/>
    <w:rsid w:val="00260EB4"/>
    <w:rsid w:val="00266301"/>
    <w:rsid w:val="002678D8"/>
    <w:rsid w:val="0028090D"/>
    <w:rsid w:val="002835F9"/>
    <w:rsid w:val="00287573"/>
    <w:rsid w:val="002A39B7"/>
    <w:rsid w:val="002B2A3F"/>
    <w:rsid w:val="002B6535"/>
    <w:rsid w:val="002B6BFD"/>
    <w:rsid w:val="002B6EB5"/>
    <w:rsid w:val="002C7E36"/>
    <w:rsid w:val="002D4193"/>
    <w:rsid w:val="002D7C54"/>
    <w:rsid w:val="002E4284"/>
    <w:rsid w:val="002E50D2"/>
    <w:rsid w:val="002E67C0"/>
    <w:rsid w:val="00314A36"/>
    <w:rsid w:val="00314FAD"/>
    <w:rsid w:val="003218D5"/>
    <w:rsid w:val="00333C6F"/>
    <w:rsid w:val="0034172E"/>
    <w:rsid w:val="003507FF"/>
    <w:rsid w:val="0035750A"/>
    <w:rsid w:val="003703AC"/>
    <w:rsid w:val="00376AF9"/>
    <w:rsid w:val="00387948"/>
    <w:rsid w:val="00397FA5"/>
    <w:rsid w:val="003B67F0"/>
    <w:rsid w:val="003C592F"/>
    <w:rsid w:val="003D22CA"/>
    <w:rsid w:val="003D6757"/>
    <w:rsid w:val="003D7C50"/>
    <w:rsid w:val="003E7A11"/>
    <w:rsid w:val="00404C35"/>
    <w:rsid w:val="00405164"/>
    <w:rsid w:val="004101D3"/>
    <w:rsid w:val="004204C9"/>
    <w:rsid w:val="00423B27"/>
    <w:rsid w:val="00434BEF"/>
    <w:rsid w:val="0044181C"/>
    <w:rsid w:val="00453D18"/>
    <w:rsid w:val="00454BB7"/>
    <w:rsid w:val="00467D9E"/>
    <w:rsid w:val="00475BC5"/>
    <w:rsid w:val="0048387C"/>
    <w:rsid w:val="00485F96"/>
    <w:rsid w:val="0048771E"/>
    <w:rsid w:val="00490D74"/>
    <w:rsid w:val="004A3AF5"/>
    <w:rsid w:val="004B10A5"/>
    <w:rsid w:val="004C6EE6"/>
    <w:rsid w:val="004D02AE"/>
    <w:rsid w:val="004E25A6"/>
    <w:rsid w:val="004E32F0"/>
    <w:rsid w:val="004F5E52"/>
    <w:rsid w:val="005007BE"/>
    <w:rsid w:val="00502B0B"/>
    <w:rsid w:val="0050553E"/>
    <w:rsid w:val="00506433"/>
    <w:rsid w:val="00533FBE"/>
    <w:rsid w:val="0055602E"/>
    <w:rsid w:val="00570DCA"/>
    <w:rsid w:val="0057152B"/>
    <w:rsid w:val="00572D4C"/>
    <w:rsid w:val="005748BB"/>
    <w:rsid w:val="005925FE"/>
    <w:rsid w:val="005A1C78"/>
    <w:rsid w:val="005A3CAE"/>
    <w:rsid w:val="005B6DD0"/>
    <w:rsid w:val="005C11F8"/>
    <w:rsid w:val="005F5A99"/>
    <w:rsid w:val="0060214B"/>
    <w:rsid w:val="00616369"/>
    <w:rsid w:val="00625F0C"/>
    <w:rsid w:val="00631D1C"/>
    <w:rsid w:val="00643BBA"/>
    <w:rsid w:val="006448D6"/>
    <w:rsid w:val="00656FD3"/>
    <w:rsid w:val="00670B81"/>
    <w:rsid w:val="00682541"/>
    <w:rsid w:val="0068482F"/>
    <w:rsid w:val="00684BFC"/>
    <w:rsid w:val="0069158F"/>
    <w:rsid w:val="00693CE6"/>
    <w:rsid w:val="006A591B"/>
    <w:rsid w:val="006B2F70"/>
    <w:rsid w:val="006B658B"/>
    <w:rsid w:val="006B6C29"/>
    <w:rsid w:val="006C07D1"/>
    <w:rsid w:val="006D38DE"/>
    <w:rsid w:val="006D74DA"/>
    <w:rsid w:val="006E1557"/>
    <w:rsid w:val="006E483F"/>
    <w:rsid w:val="006E6597"/>
    <w:rsid w:val="006E7D86"/>
    <w:rsid w:val="006F6363"/>
    <w:rsid w:val="007134A4"/>
    <w:rsid w:val="00717420"/>
    <w:rsid w:val="007220C8"/>
    <w:rsid w:val="00723B8A"/>
    <w:rsid w:val="00751015"/>
    <w:rsid w:val="00761C7E"/>
    <w:rsid w:val="007627A0"/>
    <w:rsid w:val="007679D2"/>
    <w:rsid w:val="00776F94"/>
    <w:rsid w:val="00781D9E"/>
    <w:rsid w:val="0078439E"/>
    <w:rsid w:val="007877E6"/>
    <w:rsid w:val="00792139"/>
    <w:rsid w:val="00793D03"/>
    <w:rsid w:val="007955E8"/>
    <w:rsid w:val="0079603C"/>
    <w:rsid w:val="007A020B"/>
    <w:rsid w:val="007B1CE7"/>
    <w:rsid w:val="007B1E2A"/>
    <w:rsid w:val="007C25AB"/>
    <w:rsid w:val="007D5C03"/>
    <w:rsid w:val="007D6933"/>
    <w:rsid w:val="007E245C"/>
    <w:rsid w:val="007E2FB6"/>
    <w:rsid w:val="007E5F82"/>
    <w:rsid w:val="00801F64"/>
    <w:rsid w:val="00804551"/>
    <w:rsid w:val="00811A46"/>
    <w:rsid w:val="00813512"/>
    <w:rsid w:val="00821E46"/>
    <w:rsid w:val="00832B73"/>
    <w:rsid w:val="0083556B"/>
    <w:rsid w:val="00836EAD"/>
    <w:rsid w:val="00841CB4"/>
    <w:rsid w:val="00853D35"/>
    <w:rsid w:val="0086163E"/>
    <w:rsid w:val="00865C80"/>
    <w:rsid w:val="0087292E"/>
    <w:rsid w:val="00875A5A"/>
    <w:rsid w:val="008911C4"/>
    <w:rsid w:val="008A21C6"/>
    <w:rsid w:val="008A61E4"/>
    <w:rsid w:val="008B0122"/>
    <w:rsid w:val="008C58A2"/>
    <w:rsid w:val="008C5C16"/>
    <w:rsid w:val="008D2D16"/>
    <w:rsid w:val="008E3500"/>
    <w:rsid w:val="008F06D5"/>
    <w:rsid w:val="008F1753"/>
    <w:rsid w:val="008F7DA5"/>
    <w:rsid w:val="00910D61"/>
    <w:rsid w:val="00934C50"/>
    <w:rsid w:val="00936E6F"/>
    <w:rsid w:val="00947744"/>
    <w:rsid w:val="00950A1E"/>
    <w:rsid w:val="00954AA7"/>
    <w:rsid w:val="00954F04"/>
    <w:rsid w:val="00963DEC"/>
    <w:rsid w:val="009740A3"/>
    <w:rsid w:val="00974240"/>
    <w:rsid w:val="009849AD"/>
    <w:rsid w:val="00984C65"/>
    <w:rsid w:val="009958AC"/>
    <w:rsid w:val="009A2CCB"/>
    <w:rsid w:val="009A6FFD"/>
    <w:rsid w:val="009A78BE"/>
    <w:rsid w:val="009B5A22"/>
    <w:rsid w:val="009B71A1"/>
    <w:rsid w:val="009C63D4"/>
    <w:rsid w:val="009C73C4"/>
    <w:rsid w:val="009E25E1"/>
    <w:rsid w:val="009E2B24"/>
    <w:rsid w:val="009F1040"/>
    <w:rsid w:val="009F4FB8"/>
    <w:rsid w:val="00A00E02"/>
    <w:rsid w:val="00A054A8"/>
    <w:rsid w:val="00A12F7D"/>
    <w:rsid w:val="00A2073A"/>
    <w:rsid w:val="00A30CC2"/>
    <w:rsid w:val="00A36721"/>
    <w:rsid w:val="00A465EF"/>
    <w:rsid w:val="00A535FB"/>
    <w:rsid w:val="00A638E6"/>
    <w:rsid w:val="00A670B8"/>
    <w:rsid w:val="00A71DBF"/>
    <w:rsid w:val="00A76F05"/>
    <w:rsid w:val="00A81D97"/>
    <w:rsid w:val="00A95897"/>
    <w:rsid w:val="00A966A7"/>
    <w:rsid w:val="00AA546E"/>
    <w:rsid w:val="00AB23FE"/>
    <w:rsid w:val="00AB4A23"/>
    <w:rsid w:val="00AB4F14"/>
    <w:rsid w:val="00AC5606"/>
    <w:rsid w:val="00AD3AC5"/>
    <w:rsid w:val="00AD4EF4"/>
    <w:rsid w:val="00AE62FD"/>
    <w:rsid w:val="00AE7C3B"/>
    <w:rsid w:val="00B061CB"/>
    <w:rsid w:val="00B10C9D"/>
    <w:rsid w:val="00B16471"/>
    <w:rsid w:val="00B334F3"/>
    <w:rsid w:val="00B350D8"/>
    <w:rsid w:val="00B627B7"/>
    <w:rsid w:val="00B63730"/>
    <w:rsid w:val="00B6478E"/>
    <w:rsid w:val="00B66109"/>
    <w:rsid w:val="00B67691"/>
    <w:rsid w:val="00B7057D"/>
    <w:rsid w:val="00B820E2"/>
    <w:rsid w:val="00BA5E62"/>
    <w:rsid w:val="00BA6D55"/>
    <w:rsid w:val="00BA7FC1"/>
    <w:rsid w:val="00BB0FE1"/>
    <w:rsid w:val="00BB3224"/>
    <w:rsid w:val="00BB6A69"/>
    <w:rsid w:val="00BC7AD4"/>
    <w:rsid w:val="00BD198A"/>
    <w:rsid w:val="00BD5A84"/>
    <w:rsid w:val="00BE0D14"/>
    <w:rsid w:val="00BE7F92"/>
    <w:rsid w:val="00BF4E00"/>
    <w:rsid w:val="00C01CC7"/>
    <w:rsid w:val="00C0363A"/>
    <w:rsid w:val="00C049BF"/>
    <w:rsid w:val="00C1702D"/>
    <w:rsid w:val="00C30A67"/>
    <w:rsid w:val="00C57B75"/>
    <w:rsid w:val="00C61FB5"/>
    <w:rsid w:val="00C62ED0"/>
    <w:rsid w:val="00C674B0"/>
    <w:rsid w:val="00C720DA"/>
    <w:rsid w:val="00C779AD"/>
    <w:rsid w:val="00C77B23"/>
    <w:rsid w:val="00C80CCC"/>
    <w:rsid w:val="00C93549"/>
    <w:rsid w:val="00C96F5A"/>
    <w:rsid w:val="00CA0CDB"/>
    <w:rsid w:val="00CA2E0B"/>
    <w:rsid w:val="00CA4194"/>
    <w:rsid w:val="00CB02C5"/>
    <w:rsid w:val="00CC2E61"/>
    <w:rsid w:val="00CD55C9"/>
    <w:rsid w:val="00CD662B"/>
    <w:rsid w:val="00CD6F18"/>
    <w:rsid w:val="00CE6A7A"/>
    <w:rsid w:val="00D00AF2"/>
    <w:rsid w:val="00D03A7E"/>
    <w:rsid w:val="00D04F48"/>
    <w:rsid w:val="00D05601"/>
    <w:rsid w:val="00D24099"/>
    <w:rsid w:val="00D31894"/>
    <w:rsid w:val="00D33197"/>
    <w:rsid w:val="00D427A8"/>
    <w:rsid w:val="00D6224B"/>
    <w:rsid w:val="00D66012"/>
    <w:rsid w:val="00D67370"/>
    <w:rsid w:val="00D74173"/>
    <w:rsid w:val="00D757BD"/>
    <w:rsid w:val="00D76973"/>
    <w:rsid w:val="00D77985"/>
    <w:rsid w:val="00D90AF9"/>
    <w:rsid w:val="00DA0356"/>
    <w:rsid w:val="00DA1DAB"/>
    <w:rsid w:val="00DA614E"/>
    <w:rsid w:val="00DB1AF5"/>
    <w:rsid w:val="00DB2090"/>
    <w:rsid w:val="00DB58CB"/>
    <w:rsid w:val="00DC5767"/>
    <w:rsid w:val="00DC5E90"/>
    <w:rsid w:val="00DC71A2"/>
    <w:rsid w:val="00DD3F61"/>
    <w:rsid w:val="00DE16C2"/>
    <w:rsid w:val="00DE359B"/>
    <w:rsid w:val="00DE3ADD"/>
    <w:rsid w:val="00DE5A92"/>
    <w:rsid w:val="00E00011"/>
    <w:rsid w:val="00E0129B"/>
    <w:rsid w:val="00E021D7"/>
    <w:rsid w:val="00E06340"/>
    <w:rsid w:val="00E238D1"/>
    <w:rsid w:val="00E27695"/>
    <w:rsid w:val="00E45931"/>
    <w:rsid w:val="00E53900"/>
    <w:rsid w:val="00E602FE"/>
    <w:rsid w:val="00E64E55"/>
    <w:rsid w:val="00E76590"/>
    <w:rsid w:val="00E76E02"/>
    <w:rsid w:val="00E804E2"/>
    <w:rsid w:val="00E80E5B"/>
    <w:rsid w:val="00EA0DED"/>
    <w:rsid w:val="00EA1C73"/>
    <w:rsid w:val="00EA3FC6"/>
    <w:rsid w:val="00EA6FE7"/>
    <w:rsid w:val="00EB1310"/>
    <w:rsid w:val="00EB2E5D"/>
    <w:rsid w:val="00EB3986"/>
    <w:rsid w:val="00EB4A63"/>
    <w:rsid w:val="00EB6960"/>
    <w:rsid w:val="00EE03E5"/>
    <w:rsid w:val="00EF3D3A"/>
    <w:rsid w:val="00EF4129"/>
    <w:rsid w:val="00F226F6"/>
    <w:rsid w:val="00F445A5"/>
    <w:rsid w:val="00F45087"/>
    <w:rsid w:val="00F46969"/>
    <w:rsid w:val="00F54E71"/>
    <w:rsid w:val="00F54F9D"/>
    <w:rsid w:val="00F60B5F"/>
    <w:rsid w:val="00F62914"/>
    <w:rsid w:val="00F672C4"/>
    <w:rsid w:val="00F71439"/>
    <w:rsid w:val="00F729AA"/>
    <w:rsid w:val="00F84CA0"/>
    <w:rsid w:val="00FA2810"/>
    <w:rsid w:val="00FA74C6"/>
    <w:rsid w:val="00FC6391"/>
    <w:rsid w:val="00FD064E"/>
    <w:rsid w:val="00FD65CB"/>
    <w:rsid w:val="00FE67A6"/>
    <w:rsid w:val="00FE72CE"/>
    <w:rsid w:val="00FF5B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hapeDefaults>
    <o:shapedefaults v:ext="edit" spidmax="5121"/>
    <o:shapelayout v:ext="edit">
      <o:idmap v:ext="edit" data="1"/>
    </o:shapelayout>
  </w:shapeDefaults>
  <w:decimalSymbol w:val="."/>
  <w:listSeparator w:val=","/>
  <w15:chartTrackingRefBased/>
  <w15:docId w15:val="{E290BD2C-A7F7-494B-9D99-5ED757BD3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30E7"/>
    <w:pPr>
      <w:autoSpaceDE w:val="0"/>
      <w:autoSpaceDN w:val="0"/>
      <w:adjustRightInd w:val="0"/>
    </w:pPr>
    <w:rPr>
      <w:rFonts w:ascii="Arial" w:hAnsi="Arial" w:cs="Arial"/>
    </w:rPr>
  </w:style>
  <w:style w:type="paragraph" w:styleId="Heading1">
    <w:name w:val="heading 1"/>
    <w:basedOn w:val="Normal"/>
    <w:next w:val="Normal"/>
    <w:link w:val="Heading1Char"/>
    <w:qFormat/>
    <w:rsid w:val="00F226F6"/>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EA1C73"/>
    <w:pPr>
      <w:tabs>
        <w:tab w:val="center" w:pos="4680"/>
        <w:tab w:val="right" w:pos="9360"/>
      </w:tabs>
    </w:pPr>
  </w:style>
  <w:style w:type="character" w:customStyle="1" w:styleId="HeaderChar">
    <w:name w:val="Header Char"/>
    <w:link w:val="Header"/>
    <w:uiPriority w:val="99"/>
    <w:rsid w:val="00EA1C73"/>
    <w:rPr>
      <w:rFonts w:ascii="Arial" w:hAnsi="Arial" w:cs="Arial"/>
      <w:sz w:val="20"/>
      <w:szCs w:val="20"/>
    </w:rPr>
  </w:style>
  <w:style w:type="paragraph" w:styleId="Footer">
    <w:name w:val="footer"/>
    <w:basedOn w:val="Normal"/>
    <w:link w:val="FooterChar"/>
    <w:uiPriority w:val="99"/>
    <w:unhideWhenUsed/>
    <w:rsid w:val="00EA1C73"/>
    <w:pPr>
      <w:tabs>
        <w:tab w:val="center" w:pos="4680"/>
        <w:tab w:val="right" w:pos="9360"/>
      </w:tabs>
    </w:pPr>
  </w:style>
  <w:style w:type="character" w:customStyle="1" w:styleId="FooterChar">
    <w:name w:val="Footer Char"/>
    <w:link w:val="Footer"/>
    <w:uiPriority w:val="99"/>
    <w:rsid w:val="00EA1C73"/>
    <w:rPr>
      <w:rFonts w:ascii="Arial" w:hAnsi="Arial" w:cs="Arial"/>
      <w:sz w:val="20"/>
      <w:szCs w:val="20"/>
    </w:rPr>
  </w:style>
  <w:style w:type="character" w:styleId="Hyperlink">
    <w:name w:val="Hyperlink"/>
    <w:uiPriority w:val="99"/>
    <w:unhideWhenUsed/>
    <w:rsid w:val="00B627B7"/>
    <w:rPr>
      <w:color w:val="0000FF"/>
      <w:u w:val="single"/>
    </w:rPr>
  </w:style>
  <w:style w:type="table" w:styleId="LightShading-Accent1">
    <w:name w:val="Light Shading Accent 1"/>
    <w:basedOn w:val="TableNormal"/>
    <w:uiPriority w:val="60"/>
    <w:rsid w:val="009849AD"/>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7134A4"/>
    <w:rPr>
      <w:rFonts w:ascii="Tahoma" w:hAnsi="Tahoma" w:cs="Tahoma"/>
      <w:sz w:val="16"/>
      <w:szCs w:val="16"/>
    </w:rPr>
  </w:style>
  <w:style w:type="character" w:styleId="PageNumber">
    <w:name w:val="page number"/>
    <w:basedOn w:val="DefaultParagraphFont"/>
    <w:rsid w:val="00B66109"/>
  </w:style>
  <w:style w:type="paragraph" w:customStyle="1" w:styleId="Requirement">
    <w:name w:val="Requirement"/>
    <w:basedOn w:val="List2"/>
    <w:autoRedefine/>
    <w:rsid w:val="009A78BE"/>
    <w:pPr>
      <w:autoSpaceDE/>
      <w:autoSpaceDN/>
      <w:adjustRightInd/>
      <w:ind w:left="1170" w:hanging="630"/>
    </w:pPr>
    <w:rPr>
      <w:rFonts w:ascii="Times New Roman" w:hAnsi="Times New Roman" w:cs="Times New Roman"/>
      <w:sz w:val="24"/>
      <w:szCs w:val="24"/>
    </w:rPr>
  </w:style>
  <w:style w:type="paragraph" w:styleId="List2">
    <w:name w:val="List 2"/>
    <w:basedOn w:val="Normal"/>
    <w:rsid w:val="00936E6F"/>
    <w:pPr>
      <w:ind w:left="720" w:hanging="360"/>
    </w:pPr>
  </w:style>
  <w:style w:type="paragraph" w:customStyle="1" w:styleId="BodyIndent1">
    <w:name w:val="Body Indent 1"/>
    <w:basedOn w:val="Normal"/>
    <w:rsid w:val="00936E6F"/>
    <w:pPr>
      <w:autoSpaceDE/>
      <w:autoSpaceDN/>
      <w:adjustRightInd/>
      <w:spacing w:after="120"/>
      <w:ind w:left="936"/>
    </w:pPr>
    <w:rPr>
      <w:rFonts w:ascii="Times New Roman" w:hAnsi="Times New Roman" w:cs="Times New Roman"/>
      <w:sz w:val="22"/>
      <w:szCs w:val="24"/>
    </w:rPr>
  </w:style>
  <w:style w:type="character" w:styleId="CommentReference">
    <w:name w:val="annotation reference"/>
    <w:uiPriority w:val="99"/>
    <w:semiHidden/>
    <w:rsid w:val="00387948"/>
    <w:rPr>
      <w:sz w:val="16"/>
      <w:szCs w:val="16"/>
    </w:rPr>
  </w:style>
  <w:style w:type="paragraph" w:styleId="CommentText">
    <w:name w:val="annotation text"/>
    <w:basedOn w:val="Normal"/>
    <w:link w:val="CommentTextChar"/>
    <w:uiPriority w:val="99"/>
    <w:semiHidden/>
    <w:rsid w:val="00387948"/>
  </w:style>
  <w:style w:type="paragraph" w:styleId="CommentSubject">
    <w:name w:val="annotation subject"/>
    <w:basedOn w:val="CommentText"/>
    <w:next w:val="CommentText"/>
    <w:semiHidden/>
    <w:rsid w:val="00387948"/>
    <w:rPr>
      <w:b/>
      <w:bCs/>
    </w:rPr>
  </w:style>
  <w:style w:type="paragraph" w:customStyle="1" w:styleId="StyleBodyText12pt">
    <w:name w:val="Style Body Text + 12 pt"/>
    <w:basedOn w:val="BodyText"/>
    <w:link w:val="StyleBodyText12ptChar"/>
    <w:rsid w:val="00A00E02"/>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rsid w:val="00A00E02"/>
    <w:rPr>
      <w:rFonts w:cs="Arial"/>
      <w:sz w:val="24"/>
      <w:szCs w:val="28"/>
      <w:lang w:val="en-US" w:eastAsia="en-US" w:bidi="ar-SA"/>
    </w:rPr>
  </w:style>
  <w:style w:type="paragraph" w:customStyle="1" w:styleId="JBody">
    <w:name w:val="J Body"/>
    <w:basedOn w:val="Normal"/>
    <w:link w:val="JBodyChar"/>
    <w:rsid w:val="00A00E02"/>
    <w:pPr>
      <w:autoSpaceDE/>
      <w:autoSpaceDN/>
      <w:adjustRightInd/>
      <w:spacing w:before="120" w:after="120"/>
    </w:pPr>
    <w:rPr>
      <w:rFonts w:ascii="Times New Roman" w:hAnsi="Times New Roman"/>
      <w:bCs/>
      <w:iCs/>
      <w:sz w:val="24"/>
      <w:szCs w:val="28"/>
    </w:rPr>
  </w:style>
  <w:style w:type="character" w:customStyle="1" w:styleId="JBodyChar">
    <w:name w:val="J Body Char"/>
    <w:link w:val="JBody"/>
    <w:rsid w:val="00A00E02"/>
    <w:rPr>
      <w:rFonts w:cs="Arial"/>
      <w:bCs/>
      <w:iCs/>
      <w:sz w:val="24"/>
      <w:szCs w:val="28"/>
      <w:lang w:val="en-US" w:eastAsia="en-US" w:bidi="ar-SA"/>
    </w:rPr>
  </w:style>
  <w:style w:type="paragraph" w:customStyle="1" w:styleId="Indentedbody">
    <w:name w:val="Indented body"/>
    <w:basedOn w:val="Normal"/>
    <w:rsid w:val="00A00E02"/>
    <w:pPr>
      <w:autoSpaceDE/>
      <w:autoSpaceDN/>
      <w:adjustRightInd/>
      <w:ind w:left="360"/>
    </w:pPr>
    <w:rPr>
      <w:rFonts w:ascii="Times New Roman" w:hAnsi="Times New Roman"/>
      <w:bCs/>
      <w:iCs/>
      <w:color w:val="000000"/>
      <w:sz w:val="28"/>
      <w:szCs w:val="28"/>
    </w:rPr>
  </w:style>
  <w:style w:type="paragraph" w:styleId="BodyText">
    <w:name w:val="Body Text"/>
    <w:basedOn w:val="Normal"/>
    <w:rsid w:val="00A00E02"/>
    <w:pPr>
      <w:spacing w:after="120"/>
    </w:pPr>
  </w:style>
  <w:style w:type="paragraph" w:customStyle="1" w:styleId="Normal0pt">
    <w:name w:val="Normal 0pt"/>
    <w:basedOn w:val="Normal"/>
    <w:rsid w:val="0086163E"/>
    <w:pPr>
      <w:autoSpaceDE/>
      <w:autoSpaceDN/>
      <w:adjustRightInd/>
    </w:pPr>
    <w:rPr>
      <w:rFonts w:ascii="Times New Roman" w:hAnsi="Times New Roman" w:cs="Times New Roman"/>
      <w:sz w:val="22"/>
      <w:szCs w:val="24"/>
    </w:rPr>
  </w:style>
  <w:style w:type="paragraph" w:styleId="ListNumber">
    <w:name w:val="List Number"/>
    <w:basedOn w:val="Normal"/>
    <w:rsid w:val="00717420"/>
    <w:pPr>
      <w:numPr>
        <w:numId w:val="4"/>
      </w:numPr>
    </w:pPr>
  </w:style>
  <w:style w:type="paragraph" w:customStyle="1" w:styleId="Default">
    <w:name w:val="Default"/>
    <w:rsid w:val="008C58A2"/>
    <w:pPr>
      <w:autoSpaceDE w:val="0"/>
      <w:autoSpaceDN w:val="0"/>
      <w:adjustRightInd w:val="0"/>
    </w:pPr>
    <w:rPr>
      <w:color w:val="000000"/>
      <w:sz w:val="24"/>
      <w:szCs w:val="24"/>
    </w:rPr>
  </w:style>
  <w:style w:type="character" w:customStyle="1" w:styleId="BoxText">
    <w:name w:val="Box Text"/>
    <w:rsid w:val="00147533"/>
    <w:rPr>
      <w:rFonts w:ascii="Arial" w:hAnsi="Arial"/>
      <w:b/>
      <w:sz w:val="20"/>
    </w:rPr>
  </w:style>
  <w:style w:type="paragraph" w:customStyle="1" w:styleId="FERCparanumber">
    <w:name w:val="FERC paranumber"/>
    <w:basedOn w:val="Normal"/>
    <w:link w:val="FERCparanumberChar1"/>
    <w:rsid w:val="007A020B"/>
    <w:pPr>
      <w:numPr>
        <w:numId w:val="8"/>
      </w:numPr>
      <w:spacing w:after="240"/>
    </w:pPr>
    <w:rPr>
      <w:rFonts w:ascii="Times New Roman" w:hAnsi="Times New Roman" w:cs="Times New Roman"/>
      <w:sz w:val="26"/>
      <w:szCs w:val="24"/>
    </w:rPr>
  </w:style>
  <w:style w:type="character" w:customStyle="1" w:styleId="FERCparanumberChar1">
    <w:name w:val="FERC paranumber Char1"/>
    <w:link w:val="FERCparanumber"/>
    <w:rsid w:val="007A020B"/>
    <w:rPr>
      <w:sz w:val="26"/>
      <w:szCs w:val="24"/>
      <w:lang w:val="en-US" w:eastAsia="en-US" w:bidi="ar-SA"/>
    </w:rPr>
  </w:style>
  <w:style w:type="numbering" w:customStyle="1" w:styleId="RSAW">
    <w:name w:val="RSAW"/>
    <w:uiPriority w:val="99"/>
    <w:rsid w:val="0013021F"/>
    <w:pPr>
      <w:numPr>
        <w:numId w:val="9"/>
      </w:numPr>
    </w:pPr>
  </w:style>
  <w:style w:type="paragraph" w:styleId="NoSpacing">
    <w:name w:val="No Spacing"/>
    <w:uiPriority w:val="1"/>
    <w:qFormat/>
    <w:rsid w:val="00B820E2"/>
    <w:rPr>
      <w:rFonts w:ascii="Calibri" w:eastAsia="Calibri" w:hAnsi="Calibri"/>
      <w:sz w:val="22"/>
      <w:szCs w:val="22"/>
    </w:rPr>
  </w:style>
  <w:style w:type="character" w:customStyle="1" w:styleId="CommentTextChar">
    <w:name w:val="Comment Text Char"/>
    <w:link w:val="CommentText"/>
    <w:uiPriority w:val="99"/>
    <w:semiHidden/>
    <w:rsid w:val="00B820E2"/>
    <w:rPr>
      <w:rFonts w:ascii="Arial" w:hAnsi="Arial" w:cs="Arial"/>
    </w:rPr>
  </w:style>
  <w:style w:type="paragraph" w:styleId="ListParagraph">
    <w:name w:val="List Paragraph"/>
    <w:basedOn w:val="Normal"/>
    <w:uiPriority w:val="34"/>
    <w:qFormat/>
    <w:rsid w:val="0019356C"/>
    <w:pPr>
      <w:ind w:left="720"/>
    </w:pPr>
  </w:style>
  <w:style w:type="paragraph" w:styleId="Revision">
    <w:name w:val="Revision"/>
    <w:hidden/>
    <w:uiPriority w:val="99"/>
    <w:semiHidden/>
    <w:rsid w:val="00DA0356"/>
    <w:rPr>
      <w:rFonts w:ascii="Arial" w:hAnsi="Arial" w:cs="Arial"/>
    </w:rPr>
  </w:style>
  <w:style w:type="paragraph" w:styleId="NormalWeb">
    <w:name w:val="Normal (Web)"/>
    <w:basedOn w:val="Normal"/>
    <w:uiPriority w:val="99"/>
    <w:unhideWhenUsed/>
    <w:rsid w:val="00EF3D3A"/>
    <w:pPr>
      <w:autoSpaceDE/>
      <w:autoSpaceDN/>
      <w:adjustRightInd/>
      <w:spacing w:before="100" w:beforeAutospacing="1" w:after="100" w:afterAutospacing="1"/>
    </w:pPr>
    <w:rPr>
      <w:rFonts w:ascii="Times New Roman" w:hAnsi="Times New Roman" w:cs="Times New Roman"/>
      <w:sz w:val="24"/>
      <w:szCs w:val="24"/>
    </w:rPr>
  </w:style>
  <w:style w:type="character" w:customStyle="1" w:styleId="caps">
    <w:name w:val="caps"/>
    <w:basedOn w:val="DefaultParagraphFont"/>
    <w:rsid w:val="00EF3D3A"/>
  </w:style>
  <w:style w:type="character" w:customStyle="1" w:styleId="Heading1Char">
    <w:name w:val="Heading 1 Char"/>
    <w:link w:val="Heading1"/>
    <w:rsid w:val="00F226F6"/>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uiPriority w:val="22"/>
    <w:qFormat/>
    <w:rsid w:val="008911C4"/>
    <w:rPr>
      <w:b/>
      <w:bCs/>
    </w:rPr>
  </w:style>
  <w:style w:type="character" w:styleId="FollowedHyperlink">
    <w:name w:val="FollowedHyperlink"/>
    <w:rsid w:val="00E27695"/>
    <w:rPr>
      <w:color w:val="6064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14987">
      <w:bodyDiv w:val="1"/>
      <w:marLeft w:val="0"/>
      <w:marRight w:val="0"/>
      <w:marTop w:val="0"/>
      <w:marBottom w:val="0"/>
      <w:divBdr>
        <w:top w:val="none" w:sz="0" w:space="0" w:color="auto"/>
        <w:left w:val="none" w:sz="0" w:space="0" w:color="auto"/>
        <w:bottom w:val="none" w:sz="0" w:space="0" w:color="auto"/>
        <w:right w:val="none" w:sz="0" w:space="0" w:color="auto"/>
      </w:divBdr>
    </w:div>
    <w:div w:id="18627616">
      <w:bodyDiv w:val="1"/>
      <w:marLeft w:val="0"/>
      <w:marRight w:val="0"/>
      <w:marTop w:val="0"/>
      <w:marBottom w:val="0"/>
      <w:divBdr>
        <w:top w:val="none" w:sz="0" w:space="0" w:color="auto"/>
        <w:left w:val="none" w:sz="0" w:space="0" w:color="auto"/>
        <w:bottom w:val="none" w:sz="0" w:space="0" w:color="auto"/>
        <w:right w:val="none" w:sz="0" w:space="0" w:color="auto"/>
      </w:divBdr>
    </w:div>
    <w:div w:id="19161913">
      <w:bodyDiv w:val="1"/>
      <w:marLeft w:val="0"/>
      <w:marRight w:val="0"/>
      <w:marTop w:val="0"/>
      <w:marBottom w:val="0"/>
      <w:divBdr>
        <w:top w:val="none" w:sz="0" w:space="0" w:color="auto"/>
        <w:left w:val="none" w:sz="0" w:space="0" w:color="auto"/>
        <w:bottom w:val="none" w:sz="0" w:space="0" w:color="auto"/>
        <w:right w:val="none" w:sz="0" w:space="0" w:color="auto"/>
      </w:divBdr>
    </w:div>
    <w:div w:id="38091901">
      <w:bodyDiv w:val="1"/>
      <w:marLeft w:val="0"/>
      <w:marRight w:val="0"/>
      <w:marTop w:val="0"/>
      <w:marBottom w:val="0"/>
      <w:divBdr>
        <w:top w:val="none" w:sz="0" w:space="0" w:color="auto"/>
        <w:left w:val="none" w:sz="0" w:space="0" w:color="auto"/>
        <w:bottom w:val="none" w:sz="0" w:space="0" w:color="auto"/>
        <w:right w:val="none" w:sz="0" w:space="0" w:color="auto"/>
      </w:divBdr>
    </w:div>
    <w:div w:id="42407033">
      <w:bodyDiv w:val="1"/>
      <w:marLeft w:val="0"/>
      <w:marRight w:val="0"/>
      <w:marTop w:val="0"/>
      <w:marBottom w:val="0"/>
      <w:divBdr>
        <w:top w:val="none" w:sz="0" w:space="0" w:color="auto"/>
        <w:left w:val="none" w:sz="0" w:space="0" w:color="auto"/>
        <w:bottom w:val="none" w:sz="0" w:space="0" w:color="auto"/>
        <w:right w:val="none" w:sz="0" w:space="0" w:color="auto"/>
      </w:divBdr>
    </w:div>
    <w:div w:id="61491483">
      <w:bodyDiv w:val="1"/>
      <w:marLeft w:val="0"/>
      <w:marRight w:val="0"/>
      <w:marTop w:val="0"/>
      <w:marBottom w:val="0"/>
      <w:divBdr>
        <w:top w:val="none" w:sz="0" w:space="0" w:color="auto"/>
        <w:left w:val="none" w:sz="0" w:space="0" w:color="auto"/>
        <w:bottom w:val="none" w:sz="0" w:space="0" w:color="auto"/>
        <w:right w:val="none" w:sz="0" w:space="0" w:color="auto"/>
      </w:divBdr>
      <w:divsChild>
        <w:div w:id="1323391509">
          <w:marLeft w:val="0"/>
          <w:marRight w:val="0"/>
          <w:marTop w:val="0"/>
          <w:marBottom w:val="0"/>
          <w:divBdr>
            <w:top w:val="none" w:sz="0" w:space="0" w:color="auto"/>
            <w:left w:val="none" w:sz="0" w:space="0" w:color="auto"/>
            <w:bottom w:val="none" w:sz="0" w:space="0" w:color="auto"/>
            <w:right w:val="none" w:sz="0" w:space="0" w:color="auto"/>
          </w:divBdr>
          <w:divsChild>
            <w:div w:id="793521694">
              <w:marLeft w:val="0"/>
              <w:marRight w:val="0"/>
              <w:marTop w:val="0"/>
              <w:marBottom w:val="0"/>
              <w:divBdr>
                <w:top w:val="none" w:sz="0" w:space="0" w:color="auto"/>
                <w:left w:val="none" w:sz="0" w:space="0" w:color="auto"/>
                <w:bottom w:val="none" w:sz="0" w:space="0" w:color="auto"/>
                <w:right w:val="none" w:sz="0" w:space="0" w:color="auto"/>
              </w:divBdr>
              <w:divsChild>
                <w:div w:id="404492490">
                  <w:marLeft w:val="0"/>
                  <w:marRight w:val="0"/>
                  <w:marTop w:val="0"/>
                  <w:marBottom w:val="0"/>
                  <w:divBdr>
                    <w:top w:val="none" w:sz="0" w:space="0" w:color="auto"/>
                    <w:left w:val="none" w:sz="0" w:space="0" w:color="auto"/>
                    <w:bottom w:val="none" w:sz="0" w:space="0" w:color="auto"/>
                    <w:right w:val="none" w:sz="0" w:space="0" w:color="auto"/>
                  </w:divBdr>
                  <w:divsChild>
                    <w:div w:id="1747453840">
                      <w:marLeft w:val="0"/>
                      <w:marRight w:val="0"/>
                      <w:marTop w:val="0"/>
                      <w:marBottom w:val="0"/>
                      <w:divBdr>
                        <w:top w:val="none" w:sz="0" w:space="0" w:color="auto"/>
                        <w:left w:val="none" w:sz="0" w:space="0" w:color="auto"/>
                        <w:bottom w:val="none" w:sz="0" w:space="0" w:color="auto"/>
                        <w:right w:val="none" w:sz="0" w:space="0" w:color="auto"/>
                      </w:divBdr>
                      <w:divsChild>
                        <w:div w:id="517043941">
                          <w:marLeft w:val="0"/>
                          <w:marRight w:val="0"/>
                          <w:marTop w:val="0"/>
                          <w:marBottom w:val="0"/>
                          <w:divBdr>
                            <w:top w:val="none" w:sz="0" w:space="0" w:color="auto"/>
                            <w:left w:val="none" w:sz="0" w:space="0" w:color="auto"/>
                            <w:bottom w:val="none" w:sz="0" w:space="0" w:color="auto"/>
                            <w:right w:val="none" w:sz="0" w:space="0" w:color="auto"/>
                          </w:divBdr>
                          <w:divsChild>
                            <w:div w:id="8725531">
                              <w:blockQuote w:val="1"/>
                              <w:marLeft w:val="720"/>
                              <w:marRight w:val="720"/>
                              <w:marTop w:val="100"/>
                              <w:marBottom w:val="100"/>
                              <w:divBdr>
                                <w:top w:val="none" w:sz="0" w:space="0" w:color="auto"/>
                                <w:left w:val="none" w:sz="0" w:space="0" w:color="auto"/>
                                <w:bottom w:val="none" w:sz="0" w:space="0" w:color="auto"/>
                                <w:right w:val="none" w:sz="0" w:space="0" w:color="auto"/>
                              </w:divBdr>
                            </w:div>
                            <w:div w:id="23794046">
                              <w:blockQuote w:val="1"/>
                              <w:marLeft w:val="720"/>
                              <w:marRight w:val="720"/>
                              <w:marTop w:val="100"/>
                              <w:marBottom w:val="100"/>
                              <w:divBdr>
                                <w:top w:val="none" w:sz="0" w:space="0" w:color="auto"/>
                                <w:left w:val="none" w:sz="0" w:space="0" w:color="auto"/>
                                <w:bottom w:val="none" w:sz="0" w:space="0" w:color="auto"/>
                                <w:right w:val="none" w:sz="0" w:space="0" w:color="auto"/>
                              </w:divBdr>
                            </w:div>
                            <w:div w:id="332953606">
                              <w:blockQuote w:val="1"/>
                              <w:marLeft w:val="720"/>
                              <w:marRight w:val="720"/>
                              <w:marTop w:val="100"/>
                              <w:marBottom w:val="100"/>
                              <w:divBdr>
                                <w:top w:val="none" w:sz="0" w:space="0" w:color="auto"/>
                                <w:left w:val="none" w:sz="0" w:space="0" w:color="auto"/>
                                <w:bottom w:val="none" w:sz="0" w:space="0" w:color="auto"/>
                                <w:right w:val="none" w:sz="0" w:space="0" w:color="auto"/>
                              </w:divBdr>
                            </w:div>
                            <w:div w:id="393821951">
                              <w:blockQuote w:val="1"/>
                              <w:marLeft w:val="720"/>
                              <w:marRight w:val="720"/>
                              <w:marTop w:val="100"/>
                              <w:marBottom w:val="100"/>
                              <w:divBdr>
                                <w:top w:val="none" w:sz="0" w:space="0" w:color="auto"/>
                                <w:left w:val="none" w:sz="0" w:space="0" w:color="auto"/>
                                <w:bottom w:val="none" w:sz="0" w:space="0" w:color="auto"/>
                                <w:right w:val="none" w:sz="0" w:space="0" w:color="auto"/>
                              </w:divBdr>
                            </w:div>
                            <w:div w:id="516238555">
                              <w:blockQuote w:val="1"/>
                              <w:marLeft w:val="720"/>
                              <w:marRight w:val="720"/>
                              <w:marTop w:val="100"/>
                              <w:marBottom w:val="100"/>
                              <w:divBdr>
                                <w:top w:val="none" w:sz="0" w:space="0" w:color="auto"/>
                                <w:left w:val="none" w:sz="0" w:space="0" w:color="auto"/>
                                <w:bottom w:val="none" w:sz="0" w:space="0" w:color="auto"/>
                                <w:right w:val="none" w:sz="0" w:space="0" w:color="auto"/>
                              </w:divBdr>
                            </w:div>
                            <w:div w:id="773675432">
                              <w:blockQuote w:val="1"/>
                              <w:marLeft w:val="720"/>
                              <w:marRight w:val="720"/>
                              <w:marTop w:val="100"/>
                              <w:marBottom w:val="100"/>
                              <w:divBdr>
                                <w:top w:val="none" w:sz="0" w:space="0" w:color="auto"/>
                                <w:left w:val="none" w:sz="0" w:space="0" w:color="auto"/>
                                <w:bottom w:val="none" w:sz="0" w:space="0" w:color="auto"/>
                                <w:right w:val="none" w:sz="0" w:space="0" w:color="auto"/>
                              </w:divBdr>
                            </w:div>
                            <w:div w:id="804588655">
                              <w:blockQuote w:val="1"/>
                              <w:marLeft w:val="720"/>
                              <w:marRight w:val="720"/>
                              <w:marTop w:val="100"/>
                              <w:marBottom w:val="100"/>
                              <w:divBdr>
                                <w:top w:val="none" w:sz="0" w:space="0" w:color="auto"/>
                                <w:left w:val="none" w:sz="0" w:space="0" w:color="auto"/>
                                <w:bottom w:val="none" w:sz="0" w:space="0" w:color="auto"/>
                                <w:right w:val="none" w:sz="0" w:space="0" w:color="auto"/>
                              </w:divBdr>
                            </w:div>
                            <w:div w:id="959068192">
                              <w:blockQuote w:val="1"/>
                              <w:marLeft w:val="720"/>
                              <w:marRight w:val="720"/>
                              <w:marTop w:val="100"/>
                              <w:marBottom w:val="100"/>
                              <w:divBdr>
                                <w:top w:val="none" w:sz="0" w:space="0" w:color="auto"/>
                                <w:left w:val="none" w:sz="0" w:space="0" w:color="auto"/>
                                <w:bottom w:val="none" w:sz="0" w:space="0" w:color="auto"/>
                                <w:right w:val="none" w:sz="0" w:space="0" w:color="auto"/>
                              </w:divBdr>
                            </w:div>
                            <w:div w:id="983236720">
                              <w:blockQuote w:val="1"/>
                              <w:marLeft w:val="720"/>
                              <w:marRight w:val="720"/>
                              <w:marTop w:val="100"/>
                              <w:marBottom w:val="100"/>
                              <w:divBdr>
                                <w:top w:val="none" w:sz="0" w:space="0" w:color="auto"/>
                                <w:left w:val="none" w:sz="0" w:space="0" w:color="auto"/>
                                <w:bottom w:val="none" w:sz="0" w:space="0" w:color="auto"/>
                                <w:right w:val="none" w:sz="0" w:space="0" w:color="auto"/>
                              </w:divBdr>
                            </w:div>
                            <w:div w:id="1152403150">
                              <w:blockQuote w:val="1"/>
                              <w:marLeft w:val="720"/>
                              <w:marRight w:val="720"/>
                              <w:marTop w:val="100"/>
                              <w:marBottom w:val="100"/>
                              <w:divBdr>
                                <w:top w:val="none" w:sz="0" w:space="0" w:color="auto"/>
                                <w:left w:val="none" w:sz="0" w:space="0" w:color="auto"/>
                                <w:bottom w:val="none" w:sz="0" w:space="0" w:color="auto"/>
                                <w:right w:val="none" w:sz="0" w:space="0" w:color="auto"/>
                              </w:divBdr>
                            </w:div>
                            <w:div w:id="1274096363">
                              <w:blockQuote w:val="1"/>
                              <w:marLeft w:val="720"/>
                              <w:marRight w:val="720"/>
                              <w:marTop w:val="100"/>
                              <w:marBottom w:val="100"/>
                              <w:divBdr>
                                <w:top w:val="none" w:sz="0" w:space="0" w:color="auto"/>
                                <w:left w:val="none" w:sz="0" w:space="0" w:color="auto"/>
                                <w:bottom w:val="none" w:sz="0" w:space="0" w:color="auto"/>
                                <w:right w:val="none" w:sz="0" w:space="0" w:color="auto"/>
                              </w:divBdr>
                            </w:div>
                            <w:div w:id="1353340002">
                              <w:blockQuote w:val="1"/>
                              <w:marLeft w:val="720"/>
                              <w:marRight w:val="720"/>
                              <w:marTop w:val="100"/>
                              <w:marBottom w:val="100"/>
                              <w:divBdr>
                                <w:top w:val="none" w:sz="0" w:space="0" w:color="auto"/>
                                <w:left w:val="none" w:sz="0" w:space="0" w:color="auto"/>
                                <w:bottom w:val="none" w:sz="0" w:space="0" w:color="auto"/>
                                <w:right w:val="none" w:sz="0" w:space="0" w:color="auto"/>
                              </w:divBdr>
                            </w:div>
                            <w:div w:id="1501390325">
                              <w:blockQuote w:val="1"/>
                              <w:marLeft w:val="720"/>
                              <w:marRight w:val="720"/>
                              <w:marTop w:val="100"/>
                              <w:marBottom w:val="100"/>
                              <w:divBdr>
                                <w:top w:val="none" w:sz="0" w:space="0" w:color="auto"/>
                                <w:left w:val="none" w:sz="0" w:space="0" w:color="auto"/>
                                <w:bottom w:val="none" w:sz="0" w:space="0" w:color="auto"/>
                                <w:right w:val="none" w:sz="0" w:space="0" w:color="auto"/>
                              </w:divBdr>
                            </w:div>
                            <w:div w:id="1549537513">
                              <w:blockQuote w:val="1"/>
                              <w:marLeft w:val="720"/>
                              <w:marRight w:val="720"/>
                              <w:marTop w:val="100"/>
                              <w:marBottom w:val="100"/>
                              <w:divBdr>
                                <w:top w:val="none" w:sz="0" w:space="0" w:color="auto"/>
                                <w:left w:val="none" w:sz="0" w:space="0" w:color="auto"/>
                                <w:bottom w:val="none" w:sz="0" w:space="0" w:color="auto"/>
                                <w:right w:val="none" w:sz="0" w:space="0" w:color="auto"/>
                              </w:divBdr>
                            </w:div>
                            <w:div w:id="204525137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504665">
      <w:bodyDiv w:val="1"/>
      <w:marLeft w:val="0"/>
      <w:marRight w:val="0"/>
      <w:marTop w:val="0"/>
      <w:marBottom w:val="0"/>
      <w:divBdr>
        <w:top w:val="none" w:sz="0" w:space="0" w:color="auto"/>
        <w:left w:val="none" w:sz="0" w:space="0" w:color="auto"/>
        <w:bottom w:val="none" w:sz="0" w:space="0" w:color="auto"/>
        <w:right w:val="none" w:sz="0" w:space="0" w:color="auto"/>
      </w:divBdr>
    </w:div>
    <w:div w:id="132792356">
      <w:bodyDiv w:val="1"/>
      <w:marLeft w:val="0"/>
      <w:marRight w:val="0"/>
      <w:marTop w:val="0"/>
      <w:marBottom w:val="0"/>
      <w:divBdr>
        <w:top w:val="none" w:sz="0" w:space="0" w:color="auto"/>
        <w:left w:val="none" w:sz="0" w:space="0" w:color="auto"/>
        <w:bottom w:val="none" w:sz="0" w:space="0" w:color="auto"/>
        <w:right w:val="none" w:sz="0" w:space="0" w:color="auto"/>
      </w:divBdr>
    </w:div>
    <w:div w:id="140317313">
      <w:bodyDiv w:val="1"/>
      <w:marLeft w:val="0"/>
      <w:marRight w:val="0"/>
      <w:marTop w:val="0"/>
      <w:marBottom w:val="0"/>
      <w:divBdr>
        <w:top w:val="none" w:sz="0" w:space="0" w:color="auto"/>
        <w:left w:val="none" w:sz="0" w:space="0" w:color="auto"/>
        <w:bottom w:val="none" w:sz="0" w:space="0" w:color="auto"/>
        <w:right w:val="none" w:sz="0" w:space="0" w:color="auto"/>
      </w:divBdr>
    </w:div>
    <w:div w:id="154342581">
      <w:bodyDiv w:val="1"/>
      <w:marLeft w:val="0"/>
      <w:marRight w:val="0"/>
      <w:marTop w:val="0"/>
      <w:marBottom w:val="0"/>
      <w:divBdr>
        <w:top w:val="none" w:sz="0" w:space="0" w:color="auto"/>
        <w:left w:val="none" w:sz="0" w:space="0" w:color="auto"/>
        <w:bottom w:val="none" w:sz="0" w:space="0" w:color="auto"/>
        <w:right w:val="none" w:sz="0" w:space="0" w:color="auto"/>
      </w:divBdr>
    </w:div>
    <w:div w:id="200829110">
      <w:bodyDiv w:val="1"/>
      <w:marLeft w:val="0"/>
      <w:marRight w:val="0"/>
      <w:marTop w:val="0"/>
      <w:marBottom w:val="0"/>
      <w:divBdr>
        <w:top w:val="none" w:sz="0" w:space="0" w:color="auto"/>
        <w:left w:val="none" w:sz="0" w:space="0" w:color="auto"/>
        <w:bottom w:val="none" w:sz="0" w:space="0" w:color="auto"/>
        <w:right w:val="none" w:sz="0" w:space="0" w:color="auto"/>
      </w:divBdr>
    </w:div>
    <w:div w:id="229315142">
      <w:bodyDiv w:val="1"/>
      <w:marLeft w:val="0"/>
      <w:marRight w:val="0"/>
      <w:marTop w:val="0"/>
      <w:marBottom w:val="0"/>
      <w:divBdr>
        <w:top w:val="none" w:sz="0" w:space="0" w:color="auto"/>
        <w:left w:val="none" w:sz="0" w:space="0" w:color="auto"/>
        <w:bottom w:val="none" w:sz="0" w:space="0" w:color="auto"/>
        <w:right w:val="none" w:sz="0" w:space="0" w:color="auto"/>
      </w:divBdr>
    </w:div>
    <w:div w:id="242253594">
      <w:bodyDiv w:val="1"/>
      <w:marLeft w:val="0"/>
      <w:marRight w:val="0"/>
      <w:marTop w:val="0"/>
      <w:marBottom w:val="0"/>
      <w:divBdr>
        <w:top w:val="none" w:sz="0" w:space="0" w:color="auto"/>
        <w:left w:val="none" w:sz="0" w:space="0" w:color="auto"/>
        <w:bottom w:val="none" w:sz="0" w:space="0" w:color="auto"/>
        <w:right w:val="none" w:sz="0" w:space="0" w:color="auto"/>
      </w:divBdr>
    </w:div>
    <w:div w:id="244151320">
      <w:bodyDiv w:val="1"/>
      <w:marLeft w:val="0"/>
      <w:marRight w:val="0"/>
      <w:marTop w:val="0"/>
      <w:marBottom w:val="0"/>
      <w:divBdr>
        <w:top w:val="none" w:sz="0" w:space="0" w:color="auto"/>
        <w:left w:val="none" w:sz="0" w:space="0" w:color="auto"/>
        <w:bottom w:val="none" w:sz="0" w:space="0" w:color="auto"/>
        <w:right w:val="none" w:sz="0" w:space="0" w:color="auto"/>
      </w:divBdr>
    </w:div>
    <w:div w:id="274991393">
      <w:bodyDiv w:val="1"/>
      <w:marLeft w:val="0"/>
      <w:marRight w:val="0"/>
      <w:marTop w:val="0"/>
      <w:marBottom w:val="0"/>
      <w:divBdr>
        <w:top w:val="none" w:sz="0" w:space="0" w:color="auto"/>
        <w:left w:val="none" w:sz="0" w:space="0" w:color="auto"/>
        <w:bottom w:val="none" w:sz="0" w:space="0" w:color="auto"/>
        <w:right w:val="none" w:sz="0" w:space="0" w:color="auto"/>
      </w:divBdr>
    </w:div>
    <w:div w:id="286396799">
      <w:bodyDiv w:val="1"/>
      <w:marLeft w:val="0"/>
      <w:marRight w:val="0"/>
      <w:marTop w:val="0"/>
      <w:marBottom w:val="0"/>
      <w:divBdr>
        <w:top w:val="none" w:sz="0" w:space="0" w:color="auto"/>
        <w:left w:val="none" w:sz="0" w:space="0" w:color="auto"/>
        <w:bottom w:val="none" w:sz="0" w:space="0" w:color="auto"/>
        <w:right w:val="none" w:sz="0" w:space="0" w:color="auto"/>
      </w:divBdr>
    </w:div>
    <w:div w:id="299577778">
      <w:bodyDiv w:val="1"/>
      <w:marLeft w:val="0"/>
      <w:marRight w:val="0"/>
      <w:marTop w:val="0"/>
      <w:marBottom w:val="0"/>
      <w:divBdr>
        <w:top w:val="none" w:sz="0" w:space="0" w:color="auto"/>
        <w:left w:val="none" w:sz="0" w:space="0" w:color="auto"/>
        <w:bottom w:val="none" w:sz="0" w:space="0" w:color="auto"/>
        <w:right w:val="none" w:sz="0" w:space="0" w:color="auto"/>
      </w:divBdr>
    </w:div>
    <w:div w:id="322320030">
      <w:bodyDiv w:val="1"/>
      <w:marLeft w:val="0"/>
      <w:marRight w:val="0"/>
      <w:marTop w:val="0"/>
      <w:marBottom w:val="0"/>
      <w:divBdr>
        <w:top w:val="none" w:sz="0" w:space="0" w:color="auto"/>
        <w:left w:val="none" w:sz="0" w:space="0" w:color="auto"/>
        <w:bottom w:val="none" w:sz="0" w:space="0" w:color="auto"/>
        <w:right w:val="none" w:sz="0" w:space="0" w:color="auto"/>
      </w:divBdr>
    </w:div>
    <w:div w:id="377439610">
      <w:bodyDiv w:val="1"/>
      <w:marLeft w:val="0"/>
      <w:marRight w:val="0"/>
      <w:marTop w:val="0"/>
      <w:marBottom w:val="0"/>
      <w:divBdr>
        <w:top w:val="none" w:sz="0" w:space="0" w:color="auto"/>
        <w:left w:val="none" w:sz="0" w:space="0" w:color="auto"/>
        <w:bottom w:val="none" w:sz="0" w:space="0" w:color="auto"/>
        <w:right w:val="none" w:sz="0" w:space="0" w:color="auto"/>
      </w:divBdr>
    </w:div>
    <w:div w:id="393969297">
      <w:bodyDiv w:val="1"/>
      <w:marLeft w:val="0"/>
      <w:marRight w:val="0"/>
      <w:marTop w:val="0"/>
      <w:marBottom w:val="0"/>
      <w:divBdr>
        <w:top w:val="none" w:sz="0" w:space="0" w:color="auto"/>
        <w:left w:val="none" w:sz="0" w:space="0" w:color="auto"/>
        <w:bottom w:val="none" w:sz="0" w:space="0" w:color="auto"/>
        <w:right w:val="none" w:sz="0" w:space="0" w:color="auto"/>
      </w:divBdr>
    </w:div>
    <w:div w:id="455803325">
      <w:bodyDiv w:val="1"/>
      <w:marLeft w:val="0"/>
      <w:marRight w:val="0"/>
      <w:marTop w:val="0"/>
      <w:marBottom w:val="0"/>
      <w:divBdr>
        <w:top w:val="none" w:sz="0" w:space="0" w:color="auto"/>
        <w:left w:val="none" w:sz="0" w:space="0" w:color="auto"/>
        <w:bottom w:val="none" w:sz="0" w:space="0" w:color="auto"/>
        <w:right w:val="none" w:sz="0" w:space="0" w:color="auto"/>
      </w:divBdr>
    </w:div>
    <w:div w:id="479614950">
      <w:bodyDiv w:val="1"/>
      <w:marLeft w:val="0"/>
      <w:marRight w:val="0"/>
      <w:marTop w:val="0"/>
      <w:marBottom w:val="0"/>
      <w:divBdr>
        <w:top w:val="none" w:sz="0" w:space="0" w:color="auto"/>
        <w:left w:val="none" w:sz="0" w:space="0" w:color="auto"/>
        <w:bottom w:val="none" w:sz="0" w:space="0" w:color="auto"/>
        <w:right w:val="none" w:sz="0" w:space="0" w:color="auto"/>
      </w:divBdr>
    </w:div>
    <w:div w:id="488133408">
      <w:bodyDiv w:val="1"/>
      <w:marLeft w:val="0"/>
      <w:marRight w:val="0"/>
      <w:marTop w:val="0"/>
      <w:marBottom w:val="0"/>
      <w:divBdr>
        <w:top w:val="none" w:sz="0" w:space="0" w:color="auto"/>
        <w:left w:val="none" w:sz="0" w:space="0" w:color="auto"/>
        <w:bottom w:val="none" w:sz="0" w:space="0" w:color="auto"/>
        <w:right w:val="none" w:sz="0" w:space="0" w:color="auto"/>
      </w:divBdr>
    </w:div>
    <w:div w:id="504974384">
      <w:bodyDiv w:val="1"/>
      <w:marLeft w:val="0"/>
      <w:marRight w:val="0"/>
      <w:marTop w:val="0"/>
      <w:marBottom w:val="0"/>
      <w:divBdr>
        <w:top w:val="none" w:sz="0" w:space="0" w:color="auto"/>
        <w:left w:val="none" w:sz="0" w:space="0" w:color="auto"/>
        <w:bottom w:val="none" w:sz="0" w:space="0" w:color="auto"/>
        <w:right w:val="none" w:sz="0" w:space="0" w:color="auto"/>
      </w:divBdr>
    </w:div>
    <w:div w:id="505556969">
      <w:bodyDiv w:val="1"/>
      <w:marLeft w:val="0"/>
      <w:marRight w:val="0"/>
      <w:marTop w:val="0"/>
      <w:marBottom w:val="0"/>
      <w:divBdr>
        <w:top w:val="none" w:sz="0" w:space="0" w:color="auto"/>
        <w:left w:val="none" w:sz="0" w:space="0" w:color="auto"/>
        <w:bottom w:val="none" w:sz="0" w:space="0" w:color="auto"/>
        <w:right w:val="none" w:sz="0" w:space="0" w:color="auto"/>
      </w:divBdr>
    </w:div>
    <w:div w:id="534123277">
      <w:bodyDiv w:val="1"/>
      <w:marLeft w:val="0"/>
      <w:marRight w:val="0"/>
      <w:marTop w:val="0"/>
      <w:marBottom w:val="0"/>
      <w:divBdr>
        <w:top w:val="none" w:sz="0" w:space="0" w:color="auto"/>
        <w:left w:val="none" w:sz="0" w:space="0" w:color="auto"/>
        <w:bottom w:val="none" w:sz="0" w:space="0" w:color="auto"/>
        <w:right w:val="none" w:sz="0" w:space="0" w:color="auto"/>
      </w:divBdr>
    </w:div>
    <w:div w:id="550583245">
      <w:bodyDiv w:val="1"/>
      <w:marLeft w:val="0"/>
      <w:marRight w:val="0"/>
      <w:marTop w:val="0"/>
      <w:marBottom w:val="0"/>
      <w:divBdr>
        <w:top w:val="none" w:sz="0" w:space="0" w:color="auto"/>
        <w:left w:val="none" w:sz="0" w:space="0" w:color="auto"/>
        <w:bottom w:val="none" w:sz="0" w:space="0" w:color="auto"/>
        <w:right w:val="none" w:sz="0" w:space="0" w:color="auto"/>
      </w:divBdr>
    </w:div>
    <w:div w:id="622347130">
      <w:bodyDiv w:val="1"/>
      <w:marLeft w:val="0"/>
      <w:marRight w:val="0"/>
      <w:marTop w:val="0"/>
      <w:marBottom w:val="0"/>
      <w:divBdr>
        <w:top w:val="none" w:sz="0" w:space="0" w:color="auto"/>
        <w:left w:val="none" w:sz="0" w:space="0" w:color="auto"/>
        <w:bottom w:val="none" w:sz="0" w:space="0" w:color="auto"/>
        <w:right w:val="none" w:sz="0" w:space="0" w:color="auto"/>
      </w:divBdr>
    </w:div>
    <w:div w:id="649942763">
      <w:bodyDiv w:val="1"/>
      <w:marLeft w:val="0"/>
      <w:marRight w:val="0"/>
      <w:marTop w:val="0"/>
      <w:marBottom w:val="0"/>
      <w:divBdr>
        <w:top w:val="none" w:sz="0" w:space="0" w:color="auto"/>
        <w:left w:val="none" w:sz="0" w:space="0" w:color="auto"/>
        <w:bottom w:val="none" w:sz="0" w:space="0" w:color="auto"/>
        <w:right w:val="none" w:sz="0" w:space="0" w:color="auto"/>
      </w:divBdr>
    </w:div>
    <w:div w:id="651101467">
      <w:bodyDiv w:val="1"/>
      <w:marLeft w:val="0"/>
      <w:marRight w:val="0"/>
      <w:marTop w:val="0"/>
      <w:marBottom w:val="0"/>
      <w:divBdr>
        <w:top w:val="none" w:sz="0" w:space="0" w:color="auto"/>
        <w:left w:val="none" w:sz="0" w:space="0" w:color="auto"/>
        <w:bottom w:val="none" w:sz="0" w:space="0" w:color="auto"/>
        <w:right w:val="none" w:sz="0" w:space="0" w:color="auto"/>
      </w:divBdr>
    </w:div>
    <w:div w:id="665862143">
      <w:bodyDiv w:val="1"/>
      <w:marLeft w:val="0"/>
      <w:marRight w:val="0"/>
      <w:marTop w:val="0"/>
      <w:marBottom w:val="0"/>
      <w:divBdr>
        <w:top w:val="none" w:sz="0" w:space="0" w:color="auto"/>
        <w:left w:val="none" w:sz="0" w:space="0" w:color="auto"/>
        <w:bottom w:val="none" w:sz="0" w:space="0" w:color="auto"/>
        <w:right w:val="none" w:sz="0" w:space="0" w:color="auto"/>
      </w:divBdr>
    </w:div>
    <w:div w:id="692920928">
      <w:bodyDiv w:val="1"/>
      <w:marLeft w:val="0"/>
      <w:marRight w:val="0"/>
      <w:marTop w:val="0"/>
      <w:marBottom w:val="0"/>
      <w:divBdr>
        <w:top w:val="none" w:sz="0" w:space="0" w:color="auto"/>
        <w:left w:val="none" w:sz="0" w:space="0" w:color="auto"/>
        <w:bottom w:val="none" w:sz="0" w:space="0" w:color="auto"/>
        <w:right w:val="none" w:sz="0" w:space="0" w:color="auto"/>
      </w:divBdr>
    </w:div>
    <w:div w:id="732242828">
      <w:bodyDiv w:val="1"/>
      <w:marLeft w:val="0"/>
      <w:marRight w:val="0"/>
      <w:marTop w:val="0"/>
      <w:marBottom w:val="0"/>
      <w:divBdr>
        <w:top w:val="none" w:sz="0" w:space="0" w:color="auto"/>
        <w:left w:val="none" w:sz="0" w:space="0" w:color="auto"/>
        <w:bottom w:val="none" w:sz="0" w:space="0" w:color="auto"/>
        <w:right w:val="none" w:sz="0" w:space="0" w:color="auto"/>
      </w:divBdr>
    </w:div>
    <w:div w:id="803549251">
      <w:bodyDiv w:val="1"/>
      <w:marLeft w:val="0"/>
      <w:marRight w:val="0"/>
      <w:marTop w:val="0"/>
      <w:marBottom w:val="0"/>
      <w:divBdr>
        <w:top w:val="none" w:sz="0" w:space="0" w:color="auto"/>
        <w:left w:val="none" w:sz="0" w:space="0" w:color="auto"/>
        <w:bottom w:val="none" w:sz="0" w:space="0" w:color="auto"/>
        <w:right w:val="none" w:sz="0" w:space="0" w:color="auto"/>
      </w:divBdr>
    </w:div>
    <w:div w:id="809519586">
      <w:bodyDiv w:val="1"/>
      <w:marLeft w:val="0"/>
      <w:marRight w:val="0"/>
      <w:marTop w:val="0"/>
      <w:marBottom w:val="0"/>
      <w:divBdr>
        <w:top w:val="none" w:sz="0" w:space="0" w:color="auto"/>
        <w:left w:val="none" w:sz="0" w:space="0" w:color="auto"/>
        <w:bottom w:val="none" w:sz="0" w:space="0" w:color="auto"/>
        <w:right w:val="none" w:sz="0" w:space="0" w:color="auto"/>
      </w:divBdr>
    </w:div>
    <w:div w:id="863445572">
      <w:bodyDiv w:val="1"/>
      <w:marLeft w:val="0"/>
      <w:marRight w:val="0"/>
      <w:marTop w:val="0"/>
      <w:marBottom w:val="0"/>
      <w:divBdr>
        <w:top w:val="none" w:sz="0" w:space="0" w:color="auto"/>
        <w:left w:val="none" w:sz="0" w:space="0" w:color="auto"/>
        <w:bottom w:val="none" w:sz="0" w:space="0" w:color="auto"/>
        <w:right w:val="none" w:sz="0" w:space="0" w:color="auto"/>
      </w:divBdr>
    </w:div>
    <w:div w:id="884294270">
      <w:bodyDiv w:val="1"/>
      <w:marLeft w:val="0"/>
      <w:marRight w:val="0"/>
      <w:marTop w:val="0"/>
      <w:marBottom w:val="0"/>
      <w:divBdr>
        <w:top w:val="none" w:sz="0" w:space="0" w:color="auto"/>
        <w:left w:val="none" w:sz="0" w:space="0" w:color="auto"/>
        <w:bottom w:val="none" w:sz="0" w:space="0" w:color="auto"/>
        <w:right w:val="none" w:sz="0" w:space="0" w:color="auto"/>
      </w:divBdr>
    </w:div>
    <w:div w:id="899024854">
      <w:bodyDiv w:val="1"/>
      <w:marLeft w:val="0"/>
      <w:marRight w:val="0"/>
      <w:marTop w:val="0"/>
      <w:marBottom w:val="0"/>
      <w:divBdr>
        <w:top w:val="none" w:sz="0" w:space="0" w:color="auto"/>
        <w:left w:val="none" w:sz="0" w:space="0" w:color="auto"/>
        <w:bottom w:val="none" w:sz="0" w:space="0" w:color="auto"/>
        <w:right w:val="none" w:sz="0" w:space="0" w:color="auto"/>
      </w:divBdr>
    </w:div>
    <w:div w:id="907109219">
      <w:bodyDiv w:val="1"/>
      <w:marLeft w:val="0"/>
      <w:marRight w:val="0"/>
      <w:marTop w:val="0"/>
      <w:marBottom w:val="0"/>
      <w:divBdr>
        <w:top w:val="none" w:sz="0" w:space="0" w:color="auto"/>
        <w:left w:val="none" w:sz="0" w:space="0" w:color="auto"/>
        <w:bottom w:val="none" w:sz="0" w:space="0" w:color="auto"/>
        <w:right w:val="none" w:sz="0" w:space="0" w:color="auto"/>
      </w:divBdr>
    </w:div>
    <w:div w:id="912197294">
      <w:bodyDiv w:val="1"/>
      <w:marLeft w:val="0"/>
      <w:marRight w:val="0"/>
      <w:marTop w:val="0"/>
      <w:marBottom w:val="0"/>
      <w:divBdr>
        <w:top w:val="none" w:sz="0" w:space="0" w:color="auto"/>
        <w:left w:val="none" w:sz="0" w:space="0" w:color="auto"/>
        <w:bottom w:val="none" w:sz="0" w:space="0" w:color="auto"/>
        <w:right w:val="none" w:sz="0" w:space="0" w:color="auto"/>
      </w:divBdr>
    </w:div>
    <w:div w:id="933781709">
      <w:bodyDiv w:val="1"/>
      <w:marLeft w:val="0"/>
      <w:marRight w:val="0"/>
      <w:marTop w:val="0"/>
      <w:marBottom w:val="0"/>
      <w:divBdr>
        <w:top w:val="none" w:sz="0" w:space="0" w:color="auto"/>
        <w:left w:val="none" w:sz="0" w:space="0" w:color="auto"/>
        <w:bottom w:val="none" w:sz="0" w:space="0" w:color="auto"/>
        <w:right w:val="none" w:sz="0" w:space="0" w:color="auto"/>
      </w:divBdr>
    </w:div>
    <w:div w:id="941106517">
      <w:bodyDiv w:val="1"/>
      <w:marLeft w:val="0"/>
      <w:marRight w:val="0"/>
      <w:marTop w:val="0"/>
      <w:marBottom w:val="0"/>
      <w:divBdr>
        <w:top w:val="none" w:sz="0" w:space="0" w:color="auto"/>
        <w:left w:val="none" w:sz="0" w:space="0" w:color="auto"/>
        <w:bottom w:val="none" w:sz="0" w:space="0" w:color="auto"/>
        <w:right w:val="none" w:sz="0" w:space="0" w:color="auto"/>
      </w:divBdr>
    </w:div>
    <w:div w:id="954409082">
      <w:bodyDiv w:val="1"/>
      <w:marLeft w:val="0"/>
      <w:marRight w:val="0"/>
      <w:marTop w:val="0"/>
      <w:marBottom w:val="0"/>
      <w:divBdr>
        <w:top w:val="none" w:sz="0" w:space="0" w:color="auto"/>
        <w:left w:val="none" w:sz="0" w:space="0" w:color="auto"/>
        <w:bottom w:val="none" w:sz="0" w:space="0" w:color="auto"/>
        <w:right w:val="none" w:sz="0" w:space="0" w:color="auto"/>
      </w:divBdr>
    </w:div>
    <w:div w:id="962420010">
      <w:bodyDiv w:val="1"/>
      <w:marLeft w:val="0"/>
      <w:marRight w:val="0"/>
      <w:marTop w:val="0"/>
      <w:marBottom w:val="0"/>
      <w:divBdr>
        <w:top w:val="none" w:sz="0" w:space="0" w:color="auto"/>
        <w:left w:val="none" w:sz="0" w:space="0" w:color="auto"/>
        <w:bottom w:val="none" w:sz="0" w:space="0" w:color="auto"/>
        <w:right w:val="none" w:sz="0" w:space="0" w:color="auto"/>
      </w:divBdr>
    </w:div>
    <w:div w:id="986782757">
      <w:bodyDiv w:val="1"/>
      <w:marLeft w:val="0"/>
      <w:marRight w:val="0"/>
      <w:marTop w:val="0"/>
      <w:marBottom w:val="0"/>
      <w:divBdr>
        <w:top w:val="none" w:sz="0" w:space="0" w:color="auto"/>
        <w:left w:val="none" w:sz="0" w:space="0" w:color="auto"/>
        <w:bottom w:val="none" w:sz="0" w:space="0" w:color="auto"/>
        <w:right w:val="none" w:sz="0" w:space="0" w:color="auto"/>
      </w:divBdr>
    </w:div>
    <w:div w:id="1039554003">
      <w:bodyDiv w:val="1"/>
      <w:marLeft w:val="0"/>
      <w:marRight w:val="0"/>
      <w:marTop w:val="0"/>
      <w:marBottom w:val="0"/>
      <w:divBdr>
        <w:top w:val="none" w:sz="0" w:space="0" w:color="auto"/>
        <w:left w:val="none" w:sz="0" w:space="0" w:color="auto"/>
        <w:bottom w:val="none" w:sz="0" w:space="0" w:color="auto"/>
        <w:right w:val="none" w:sz="0" w:space="0" w:color="auto"/>
      </w:divBdr>
    </w:div>
    <w:div w:id="1115369589">
      <w:bodyDiv w:val="1"/>
      <w:marLeft w:val="0"/>
      <w:marRight w:val="0"/>
      <w:marTop w:val="0"/>
      <w:marBottom w:val="0"/>
      <w:divBdr>
        <w:top w:val="none" w:sz="0" w:space="0" w:color="auto"/>
        <w:left w:val="none" w:sz="0" w:space="0" w:color="auto"/>
        <w:bottom w:val="none" w:sz="0" w:space="0" w:color="auto"/>
        <w:right w:val="none" w:sz="0" w:space="0" w:color="auto"/>
      </w:divBdr>
    </w:div>
    <w:div w:id="1118450179">
      <w:bodyDiv w:val="1"/>
      <w:marLeft w:val="0"/>
      <w:marRight w:val="0"/>
      <w:marTop w:val="0"/>
      <w:marBottom w:val="0"/>
      <w:divBdr>
        <w:top w:val="none" w:sz="0" w:space="0" w:color="auto"/>
        <w:left w:val="none" w:sz="0" w:space="0" w:color="auto"/>
        <w:bottom w:val="none" w:sz="0" w:space="0" w:color="auto"/>
        <w:right w:val="none" w:sz="0" w:space="0" w:color="auto"/>
      </w:divBdr>
    </w:div>
    <w:div w:id="1147937058">
      <w:bodyDiv w:val="1"/>
      <w:marLeft w:val="0"/>
      <w:marRight w:val="0"/>
      <w:marTop w:val="0"/>
      <w:marBottom w:val="0"/>
      <w:divBdr>
        <w:top w:val="none" w:sz="0" w:space="0" w:color="auto"/>
        <w:left w:val="none" w:sz="0" w:space="0" w:color="auto"/>
        <w:bottom w:val="none" w:sz="0" w:space="0" w:color="auto"/>
        <w:right w:val="none" w:sz="0" w:space="0" w:color="auto"/>
      </w:divBdr>
    </w:div>
    <w:div w:id="1169558131">
      <w:bodyDiv w:val="1"/>
      <w:marLeft w:val="0"/>
      <w:marRight w:val="0"/>
      <w:marTop w:val="0"/>
      <w:marBottom w:val="0"/>
      <w:divBdr>
        <w:top w:val="none" w:sz="0" w:space="0" w:color="auto"/>
        <w:left w:val="none" w:sz="0" w:space="0" w:color="auto"/>
        <w:bottom w:val="none" w:sz="0" w:space="0" w:color="auto"/>
        <w:right w:val="none" w:sz="0" w:space="0" w:color="auto"/>
      </w:divBdr>
    </w:div>
    <w:div w:id="1285579511">
      <w:bodyDiv w:val="1"/>
      <w:marLeft w:val="0"/>
      <w:marRight w:val="0"/>
      <w:marTop w:val="0"/>
      <w:marBottom w:val="0"/>
      <w:divBdr>
        <w:top w:val="none" w:sz="0" w:space="0" w:color="auto"/>
        <w:left w:val="none" w:sz="0" w:space="0" w:color="auto"/>
        <w:bottom w:val="none" w:sz="0" w:space="0" w:color="auto"/>
        <w:right w:val="none" w:sz="0" w:space="0" w:color="auto"/>
      </w:divBdr>
    </w:div>
    <w:div w:id="1300764614">
      <w:bodyDiv w:val="1"/>
      <w:marLeft w:val="0"/>
      <w:marRight w:val="0"/>
      <w:marTop w:val="0"/>
      <w:marBottom w:val="0"/>
      <w:divBdr>
        <w:top w:val="none" w:sz="0" w:space="0" w:color="auto"/>
        <w:left w:val="none" w:sz="0" w:space="0" w:color="auto"/>
        <w:bottom w:val="none" w:sz="0" w:space="0" w:color="auto"/>
        <w:right w:val="none" w:sz="0" w:space="0" w:color="auto"/>
      </w:divBdr>
    </w:div>
    <w:div w:id="1314719554">
      <w:bodyDiv w:val="1"/>
      <w:marLeft w:val="0"/>
      <w:marRight w:val="0"/>
      <w:marTop w:val="0"/>
      <w:marBottom w:val="0"/>
      <w:divBdr>
        <w:top w:val="none" w:sz="0" w:space="0" w:color="auto"/>
        <w:left w:val="none" w:sz="0" w:space="0" w:color="auto"/>
        <w:bottom w:val="none" w:sz="0" w:space="0" w:color="auto"/>
        <w:right w:val="none" w:sz="0" w:space="0" w:color="auto"/>
      </w:divBdr>
    </w:div>
    <w:div w:id="1385829296">
      <w:bodyDiv w:val="1"/>
      <w:marLeft w:val="0"/>
      <w:marRight w:val="0"/>
      <w:marTop w:val="0"/>
      <w:marBottom w:val="0"/>
      <w:divBdr>
        <w:top w:val="none" w:sz="0" w:space="0" w:color="auto"/>
        <w:left w:val="none" w:sz="0" w:space="0" w:color="auto"/>
        <w:bottom w:val="none" w:sz="0" w:space="0" w:color="auto"/>
        <w:right w:val="none" w:sz="0" w:space="0" w:color="auto"/>
      </w:divBdr>
    </w:div>
    <w:div w:id="1408917487">
      <w:bodyDiv w:val="1"/>
      <w:marLeft w:val="0"/>
      <w:marRight w:val="0"/>
      <w:marTop w:val="0"/>
      <w:marBottom w:val="0"/>
      <w:divBdr>
        <w:top w:val="none" w:sz="0" w:space="0" w:color="auto"/>
        <w:left w:val="none" w:sz="0" w:space="0" w:color="auto"/>
        <w:bottom w:val="none" w:sz="0" w:space="0" w:color="auto"/>
        <w:right w:val="none" w:sz="0" w:space="0" w:color="auto"/>
      </w:divBdr>
    </w:div>
    <w:div w:id="1410544029">
      <w:bodyDiv w:val="1"/>
      <w:marLeft w:val="0"/>
      <w:marRight w:val="0"/>
      <w:marTop w:val="0"/>
      <w:marBottom w:val="0"/>
      <w:divBdr>
        <w:top w:val="none" w:sz="0" w:space="0" w:color="auto"/>
        <w:left w:val="none" w:sz="0" w:space="0" w:color="auto"/>
        <w:bottom w:val="none" w:sz="0" w:space="0" w:color="auto"/>
        <w:right w:val="none" w:sz="0" w:space="0" w:color="auto"/>
      </w:divBdr>
    </w:div>
    <w:div w:id="1415318990">
      <w:bodyDiv w:val="1"/>
      <w:marLeft w:val="0"/>
      <w:marRight w:val="0"/>
      <w:marTop w:val="0"/>
      <w:marBottom w:val="0"/>
      <w:divBdr>
        <w:top w:val="none" w:sz="0" w:space="0" w:color="auto"/>
        <w:left w:val="none" w:sz="0" w:space="0" w:color="auto"/>
        <w:bottom w:val="none" w:sz="0" w:space="0" w:color="auto"/>
        <w:right w:val="none" w:sz="0" w:space="0" w:color="auto"/>
      </w:divBdr>
    </w:div>
    <w:div w:id="1440298611">
      <w:bodyDiv w:val="1"/>
      <w:marLeft w:val="0"/>
      <w:marRight w:val="0"/>
      <w:marTop w:val="0"/>
      <w:marBottom w:val="0"/>
      <w:divBdr>
        <w:top w:val="none" w:sz="0" w:space="0" w:color="auto"/>
        <w:left w:val="none" w:sz="0" w:space="0" w:color="auto"/>
        <w:bottom w:val="none" w:sz="0" w:space="0" w:color="auto"/>
        <w:right w:val="none" w:sz="0" w:space="0" w:color="auto"/>
      </w:divBdr>
    </w:div>
    <w:div w:id="1442914296">
      <w:bodyDiv w:val="1"/>
      <w:marLeft w:val="0"/>
      <w:marRight w:val="0"/>
      <w:marTop w:val="0"/>
      <w:marBottom w:val="0"/>
      <w:divBdr>
        <w:top w:val="none" w:sz="0" w:space="0" w:color="auto"/>
        <w:left w:val="none" w:sz="0" w:space="0" w:color="auto"/>
        <w:bottom w:val="none" w:sz="0" w:space="0" w:color="auto"/>
        <w:right w:val="none" w:sz="0" w:space="0" w:color="auto"/>
      </w:divBdr>
    </w:div>
    <w:div w:id="1450976280">
      <w:bodyDiv w:val="1"/>
      <w:marLeft w:val="0"/>
      <w:marRight w:val="0"/>
      <w:marTop w:val="0"/>
      <w:marBottom w:val="0"/>
      <w:divBdr>
        <w:top w:val="none" w:sz="0" w:space="0" w:color="auto"/>
        <w:left w:val="none" w:sz="0" w:space="0" w:color="auto"/>
        <w:bottom w:val="none" w:sz="0" w:space="0" w:color="auto"/>
        <w:right w:val="none" w:sz="0" w:space="0" w:color="auto"/>
      </w:divBdr>
    </w:div>
    <w:div w:id="1457017993">
      <w:bodyDiv w:val="1"/>
      <w:marLeft w:val="0"/>
      <w:marRight w:val="0"/>
      <w:marTop w:val="0"/>
      <w:marBottom w:val="0"/>
      <w:divBdr>
        <w:top w:val="none" w:sz="0" w:space="0" w:color="auto"/>
        <w:left w:val="none" w:sz="0" w:space="0" w:color="auto"/>
        <w:bottom w:val="none" w:sz="0" w:space="0" w:color="auto"/>
        <w:right w:val="none" w:sz="0" w:space="0" w:color="auto"/>
      </w:divBdr>
    </w:div>
    <w:div w:id="1462571630">
      <w:bodyDiv w:val="1"/>
      <w:marLeft w:val="0"/>
      <w:marRight w:val="0"/>
      <w:marTop w:val="0"/>
      <w:marBottom w:val="0"/>
      <w:divBdr>
        <w:top w:val="none" w:sz="0" w:space="0" w:color="auto"/>
        <w:left w:val="none" w:sz="0" w:space="0" w:color="auto"/>
        <w:bottom w:val="none" w:sz="0" w:space="0" w:color="auto"/>
        <w:right w:val="none" w:sz="0" w:space="0" w:color="auto"/>
      </w:divBdr>
    </w:div>
    <w:div w:id="1497451431">
      <w:bodyDiv w:val="1"/>
      <w:marLeft w:val="0"/>
      <w:marRight w:val="0"/>
      <w:marTop w:val="0"/>
      <w:marBottom w:val="0"/>
      <w:divBdr>
        <w:top w:val="none" w:sz="0" w:space="0" w:color="auto"/>
        <w:left w:val="none" w:sz="0" w:space="0" w:color="auto"/>
        <w:bottom w:val="none" w:sz="0" w:space="0" w:color="auto"/>
        <w:right w:val="none" w:sz="0" w:space="0" w:color="auto"/>
      </w:divBdr>
    </w:div>
    <w:div w:id="1533608514">
      <w:bodyDiv w:val="1"/>
      <w:marLeft w:val="0"/>
      <w:marRight w:val="0"/>
      <w:marTop w:val="0"/>
      <w:marBottom w:val="0"/>
      <w:divBdr>
        <w:top w:val="none" w:sz="0" w:space="0" w:color="auto"/>
        <w:left w:val="none" w:sz="0" w:space="0" w:color="auto"/>
        <w:bottom w:val="none" w:sz="0" w:space="0" w:color="auto"/>
        <w:right w:val="none" w:sz="0" w:space="0" w:color="auto"/>
      </w:divBdr>
    </w:div>
    <w:div w:id="1538079248">
      <w:bodyDiv w:val="1"/>
      <w:marLeft w:val="0"/>
      <w:marRight w:val="0"/>
      <w:marTop w:val="0"/>
      <w:marBottom w:val="0"/>
      <w:divBdr>
        <w:top w:val="none" w:sz="0" w:space="0" w:color="auto"/>
        <w:left w:val="none" w:sz="0" w:space="0" w:color="auto"/>
        <w:bottom w:val="none" w:sz="0" w:space="0" w:color="auto"/>
        <w:right w:val="none" w:sz="0" w:space="0" w:color="auto"/>
      </w:divBdr>
    </w:div>
    <w:div w:id="1549680732">
      <w:bodyDiv w:val="1"/>
      <w:marLeft w:val="0"/>
      <w:marRight w:val="0"/>
      <w:marTop w:val="0"/>
      <w:marBottom w:val="0"/>
      <w:divBdr>
        <w:top w:val="none" w:sz="0" w:space="0" w:color="auto"/>
        <w:left w:val="none" w:sz="0" w:space="0" w:color="auto"/>
        <w:bottom w:val="none" w:sz="0" w:space="0" w:color="auto"/>
        <w:right w:val="none" w:sz="0" w:space="0" w:color="auto"/>
      </w:divBdr>
    </w:div>
    <w:div w:id="1569536303">
      <w:bodyDiv w:val="1"/>
      <w:marLeft w:val="0"/>
      <w:marRight w:val="0"/>
      <w:marTop w:val="0"/>
      <w:marBottom w:val="0"/>
      <w:divBdr>
        <w:top w:val="none" w:sz="0" w:space="0" w:color="auto"/>
        <w:left w:val="none" w:sz="0" w:space="0" w:color="auto"/>
        <w:bottom w:val="none" w:sz="0" w:space="0" w:color="auto"/>
        <w:right w:val="none" w:sz="0" w:space="0" w:color="auto"/>
      </w:divBdr>
    </w:div>
    <w:div w:id="1585724235">
      <w:bodyDiv w:val="1"/>
      <w:marLeft w:val="0"/>
      <w:marRight w:val="0"/>
      <w:marTop w:val="0"/>
      <w:marBottom w:val="0"/>
      <w:divBdr>
        <w:top w:val="none" w:sz="0" w:space="0" w:color="auto"/>
        <w:left w:val="none" w:sz="0" w:space="0" w:color="auto"/>
        <w:bottom w:val="none" w:sz="0" w:space="0" w:color="auto"/>
        <w:right w:val="none" w:sz="0" w:space="0" w:color="auto"/>
      </w:divBdr>
    </w:div>
    <w:div w:id="1619336773">
      <w:bodyDiv w:val="1"/>
      <w:marLeft w:val="0"/>
      <w:marRight w:val="0"/>
      <w:marTop w:val="0"/>
      <w:marBottom w:val="0"/>
      <w:divBdr>
        <w:top w:val="none" w:sz="0" w:space="0" w:color="auto"/>
        <w:left w:val="none" w:sz="0" w:space="0" w:color="auto"/>
        <w:bottom w:val="none" w:sz="0" w:space="0" w:color="auto"/>
        <w:right w:val="none" w:sz="0" w:space="0" w:color="auto"/>
      </w:divBdr>
    </w:div>
    <w:div w:id="1649701055">
      <w:bodyDiv w:val="1"/>
      <w:marLeft w:val="0"/>
      <w:marRight w:val="0"/>
      <w:marTop w:val="0"/>
      <w:marBottom w:val="0"/>
      <w:divBdr>
        <w:top w:val="none" w:sz="0" w:space="0" w:color="auto"/>
        <w:left w:val="none" w:sz="0" w:space="0" w:color="auto"/>
        <w:bottom w:val="none" w:sz="0" w:space="0" w:color="auto"/>
        <w:right w:val="none" w:sz="0" w:space="0" w:color="auto"/>
      </w:divBdr>
    </w:div>
    <w:div w:id="1684480732">
      <w:bodyDiv w:val="1"/>
      <w:marLeft w:val="0"/>
      <w:marRight w:val="0"/>
      <w:marTop w:val="0"/>
      <w:marBottom w:val="0"/>
      <w:divBdr>
        <w:top w:val="none" w:sz="0" w:space="0" w:color="auto"/>
        <w:left w:val="none" w:sz="0" w:space="0" w:color="auto"/>
        <w:bottom w:val="none" w:sz="0" w:space="0" w:color="auto"/>
        <w:right w:val="none" w:sz="0" w:space="0" w:color="auto"/>
      </w:divBdr>
    </w:div>
    <w:div w:id="1684891995">
      <w:bodyDiv w:val="1"/>
      <w:marLeft w:val="0"/>
      <w:marRight w:val="0"/>
      <w:marTop w:val="0"/>
      <w:marBottom w:val="0"/>
      <w:divBdr>
        <w:top w:val="none" w:sz="0" w:space="0" w:color="auto"/>
        <w:left w:val="none" w:sz="0" w:space="0" w:color="auto"/>
        <w:bottom w:val="none" w:sz="0" w:space="0" w:color="auto"/>
        <w:right w:val="none" w:sz="0" w:space="0" w:color="auto"/>
      </w:divBdr>
    </w:div>
    <w:div w:id="1692220361">
      <w:bodyDiv w:val="1"/>
      <w:marLeft w:val="0"/>
      <w:marRight w:val="0"/>
      <w:marTop w:val="0"/>
      <w:marBottom w:val="0"/>
      <w:divBdr>
        <w:top w:val="none" w:sz="0" w:space="0" w:color="auto"/>
        <w:left w:val="none" w:sz="0" w:space="0" w:color="auto"/>
        <w:bottom w:val="none" w:sz="0" w:space="0" w:color="auto"/>
        <w:right w:val="none" w:sz="0" w:space="0" w:color="auto"/>
      </w:divBdr>
    </w:div>
    <w:div w:id="1700079443">
      <w:bodyDiv w:val="1"/>
      <w:marLeft w:val="0"/>
      <w:marRight w:val="0"/>
      <w:marTop w:val="0"/>
      <w:marBottom w:val="0"/>
      <w:divBdr>
        <w:top w:val="none" w:sz="0" w:space="0" w:color="auto"/>
        <w:left w:val="none" w:sz="0" w:space="0" w:color="auto"/>
        <w:bottom w:val="none" w:sz="0" w:space="0" w:color="auto"/>
        <w:right w:val="none" w:sz="0" w:space="0" w:color="auto"/>
      </w:divBdr>
    </w:div>
    <w:div w:id="1705983469">
      <w:bodyDiv w:val="1"/>
      <w:marLeft w:val="0"/>
      <w:marRight w:val="0"/>
      <w:marTop w:val="0"/>
      <w:marBottom w:val="0"/>
      <w:divBdr>
        <w:top w:val="none" w:sz="0" w:space="0" w:color="auto"/>
        <w:left w:val="none" w:sz="0" w:space="0" w:color="auto"/>
        <w:bottom w:val="none" w:sz="0" w:space="0" w:color="auto"/>
        <w:right w:val="none" w:sz="0" w:space="0" w:color="auto"/>
      </w:divBdr>
    </w:div>
    <w:div w:id="1707830443">
      <w:bodyDiv w:val="1"/>
      <w:marLeft w:val="0"/>
      <w:marRight w:val="0"/>
      <w:marTop w:val="0"/>
      <w:marBottom w:val="0"/>
      <w:divBdr>
        <w:top w:val="none" w:sz="0" w:space="0" w:color="auto"/>
        <w:left w:val="none" w:sz="0" w:space="0" w:color="auto"/>
        <w:bottom w:val="none" w:sz="0" w:space="0" w:color="auto"/>
        <w:right w:val="none" w:sz="0" w:space="0" w:color="auto"/>
      </w:divBdr>
    </w:div>
    <w:div w:id="1714697796">
      <w:bodyDiv w:val="1"/>
      <w:marLeft w:val="0"/>
      <w:marRight w:val="0"/>
      <w:marTop w:val="0"/>
      <w:marBottom w:val="0"/>
      <w:divBdr>
        <w:top w:val="none" w:sz="0" w:space="0" w:color="auto"/>
        <w:left w:val="none" w:sz="0" w:space="0" w:color="auto"/>
        <w:bottom w:val="none" w:sz="0" w:space="0" w:color="auto"/>
        <w:right w:val="none" w:sz="0" w:space="0" w:color="auto"/>
      </w:divBdr>
    </w:div>
    <w:div w:id="1737975549">
      <w:bodyDiv w:val="1"/>
      <w:marLeft w:val="0"/>
      <w:marRight w:val="0"/>
      <w:marTop w:val="0"/>
      <w:marBottom w:val="0"/>
      <w:divBdr>
        <w:top w:val="none" w:sz="0" w:space="0" w:color="auto"/>
        <w:left w:val="none" w:sz="0" w:space="0" w:color="auto"/>
        <w:bottom w:val="none" w:sz="0" w:space="0" w:color="auto"/>
        <w:right w:val="none" w:sz="0" w:space="0" w:color="auto"/>
      </w:divBdr>
    </w:div>
    <w:div w:id="1749233165">
      <w:bodyDiv w:val="1"/>
      <w:marLeft w:val="0"/>
      <w:marRight w:val="0"/>
      <w:marTop w:val="0"/>
      <w:marBottom w:val="0"/>
      <w:divBdr>
        <w:top w:val="none" w:sz="0" w:space="0" w:color="auto"/>
        <w:left w:val="none" w:sz="0" w:space="0" w:color="auto"/>
        <w:bottom w:val="none" w:sz="0" w:space="0" w:color="auto"/>
        <w:right w:val="none" w:sz="0" w:space="0" w:color="auto"/>
      </w:divBdr>
    </w:div>
    <w:div w:id="1754089906">
      <w:bodyDiv w:val="1"/>
      <w:marLeft w:val="0"/>
      <w:marRight w:val="0"/>
      <w:marTop w:val="0"/>
      <w:marBottom w:val="0"/>
      <w:divBdr>
        <w:top w:val="none" w:sz="0" w:space="0" w:color="auto"/>
        <w:left w:val="none" w:sz="0" w:space="0" w:color="auto"/>
        <w:bottom w:val="none" w:sz="0" w:space="0" w:color="auto"/>
        <w:right w:val="none" w:sz="0" w:space="0" w:color="auto"/>
      </w:divBdr>
    </w:div>
    <w:div w:id="1777287029">
      <w:bodyDiv w:val="1"/>
      <w:marLeft w:val="0"/>
      <w:marRight w:val="0"/>
      <w:marTop w:val="0"/>
      <w:marBottom w:val="0"/>
      <w:divBdr>
        <w:top w:val="none" w:sz="0" w:space="0" w:color="auto"/>
        <w:left w:val="none" w:sz="0" w:space="0" w:color="auto"/>
        <w:bottom w:val="none" w:sz="0" w:space="0" w:color="auto"/>
        <w:right w:val="none" w:sz="0" w:space="0" w:color="auto"/>
      </w:divBdr>
    </w:div>
    <w:div w:id="1783988018">
      <w:bodyDiv w:val="1"/>
      <w:marLeft w:val="0"/>
      <w:marRight w:val="0"/>
      <w:marTop w:val="0"/>
      <w:marBottom w:val="0"/>
      <w:divBdr>
        <w:top w:val="none" w:sz="0" w:space="0" w:color="auto"/>
        <w:left w:val="none" w:sz="0" w:space="0" w:color="auto"/>
        <w:bottom w:val="none" w:sz="0" w:space="0" w:color="auto"/>
        <w:right w:val="none" w:sz="0" w:space="0" w:color="auto"/>
      </w:divBdr>
    </w:div>
    <w:div w:id="1865359696">
      <w:bodyDiv w:val="1"/>
      <w:marLeft w:val="0"/>
      <w:marRight w:val="0"/>
      <w:marTop w:val="0"/>
      <w:marBottom w:val="0"/>
      <w:divBdr>
        <w:top w:val="none" w:sz="0" w:space="0" w:color="auto"/>
        <w:left w:val="none" w:sz="0" w:space="0" w:color="auto"/>
        <w:bottom w:val="none" w:sz="0" w:space="0" w:color="auto"/>
        <w:right w:val="none" w:sz="0" w:space="0" w:color="auto"/>
      </w:divBdr>
    </w:div>
    <w:div w:id="1894925834">
      <w:bodyDiv w:val="1"/>
      <w:marLeft w:val="0"/>
      <w:marRight w:val="0"/>
      <w:marTop w:val="0"/>
      <w:marBottom w:val="0"/>
      <w:divBdr>
        <w:top w:val="none" w:sz="0" w:space="0" w:color="auto"/>
        <w:left w:val="none" w:sz="0" w:space="0" w:color="auto"/>
        <w:bottom w:val="none" w:sz="0" w:space="0" w:color="auto"/>
        <w:right w:val="none" w:sz="0" w:space="0" w:color="auto"/>
      </w:divBdr>
    </w:div>
    <w:div w:id="1901400660">
      <w:bodyDiv w:val="1"/>
      <w:marLeft w:val="0"/>
      <w:marRight w:val="0"/>
      <w:marTop w:val="0"/>
      <w:marBottom w:val="0"/>
      <w:divBdr>
        <w:top w:val="none" w:sz="0" w:space="0" w:color="auto"/>
        <w:left w:val="none" w:sz="0" w:space="0" w:color="auto"/>
        <w:bottom w:val="none" w:sz="0" w:space="0" w:color="auto"/>
        <w:right w:val="none" w:sz="0" w:space="0" w:color="auto"/>
      </w:divBdr>
    </w:div>
    <w:div w:id="1924096640">
      <w:bodyDiv w:val="1"/>
      <w:marLeft w:val="0"/>
      <w:marRight w:val="0"/>
      <w:marTop w:val="0"/>
      <w:marBottom w:val="0"/>
      <w:divBdr>
        <w:top w:val="none" w:sz="0" w:space="0" w:color="auto"/>
        <w:left w:val="none" w:sz="0" w:space="0" w:color="auto"/>
        <w:bottom w:val="none" w:sz="0" w:space="0" w:color="auto"/>
        <w:right w:val="none" w:sz="0" w:space="0" w:color="auto"/>
      </w:divBdr>
    </w:div>
    <w:div w:id="1924530751">
      <w:bodyDiv w:val="1"/>
      <w:marLeft w:val="0"/>
      <w:marRight w:val="0"/>
      <w:marTop w:val="0"/>
      <w:marBottom w:val="0"/>
      <w:divBdr>
        <w:top w:val="none" w:sz="0" w:space="0" w:color="auto"/>
        <w:left w:val="none" w:sz="0" w:space="0" w:color="auto"/>
        <w:bottom w:val="none" w:sz="0" w:space="0" w:color="auto"/>
        <w:right w:val="none" w:sz="0" w:space="0" w:color="auto"/>
      </w:divBdr>
    </w:div>
    <w:div w:id="1932080289">
      <w:bodyDiv w:val="1"/>
      <w:marLeft w:val="0"/>
      <w:marRight w:val="0"/>
      <w:marTop w:val="0"/>
      <w:marBottom w:val="0"/>
      <w:divBdr>
        <w:top w:val="none" w:sz="0" w:space="0" w:color="auto"/>
        <w:left w:val="none" w:sz="0" w:space="0" w:color="auto"/>
        <w:bottom w:val="none" w:sz="0" w:space="0" w:color="auto"/>
        <w:right w:val="none" w:sz="0" w:space="0" w:color="auto"/>
      </w:divBdr>
    </w:div>
    <w:div w:id="1935548522">
      <w:bodyDiv w:val="1"/>
      <w:marLeft w:val="0"/>
      <w:marRight w:val="0"/>
      <w:marTop w:val="0"/>
      <w:marBottom w:val="0"/>
      <w:divBdr>
        <w:top w:val="none" w:sz="0" w:space="0" w:color="auto"/>
        <w:left w:val="none" w:sz="0" w:space="0" w:color="auto"/>
        <w:bottom w:val="none" w:sz="0" w:space="0" w:color="auto"/>
        <w:right w:val="none" w:sz="0" w:space="0" w:color="auto"/>
      </w:divBdr>
    </w:div>
    <w:div w:id="1952278461">
      <w:bodyDiv w:val="1"/>
      <w:marLeft w:val="0"/>
      <w:marRight w:val="0"/>
      <w:marTop w:val="0"/>
      <w:marBottom w:val="0"/>
      <w:divBdr>
        <w:top w:val="none" w:sz="0" w:space="0" w:color="auto"/>
        <w:left w:val="none" w:sz="0" w:space="0" w:color="auto"/>
        <w:bottom w:val="none" w:sz="0" w:space="0" w:color="auto"/>
        <w:right w:val="none" w:sz="0" w:space="0" w:color="auto"/>
      </w:divBdr>
    </w:div>
    <w:div w:id="1965501979">
      <w:bodyDiv w:val="1"/>
      <w:marLeft w:val="0"/>
      <w:marRight w:val="0"/>
      <w:marTop w:val="0"/>
      <w:marBottom w:val="0"/>
      <w:divBdr>
        <w:top w:val="none" w:sz="0" w:space="0" w:color="auto"/>
        <w:left w:val="none" w:sz="0" w:space="0" w:color="auto"/>
        <w:bottom w:val="none" w:sz="0" w:space="0" w:color="auto"/>
        <w:right w:val="none" w:sz="0" w:space="0" w:color="auto"/>
      </w:divBdr>
    </w:div>
    <w:div w:id="1980920077">
      <w:bodyDiv w:val="1"/>
      <w:marLeft w:val="0"/>
      <w:marRight w:val="0"/>
      <w:marTop w:val="0"/>
      <w:marBottom w:val="0"/>
      <w:divBdr>
        <w:top w:val="none" w:sz="0" w:space="0" w:color="auto"/>
        <w:left w:val="none" w:sz="0" w:space="0" w:color="auto"/>
        <w:bottom w:val="none" w:sz="0" w:space="0" w:color="auto"/>
        <w:right w:val="none" w:sz="0" w:space="0" w:color="auto"/>
      </w:divBdr>
    </w:div>
    <w:div w:id="1981808702">
      <w:bodyDiv w:val="1"/>
      <w:marLeft w:val="0"/>
      <w:marRight w:val="0"/>
      <w:marTop w:val="0"/>
      <w:marBottom w:val="0"/>
      <w:divBdr>
        <w:top w:val="none" w:sz="0" w:space="0" w:color="auto"/>
        <w:left w:val="none" w:sz="0" w:space="0" w:color="auto"/>
        <w:bottom w:val="none" w:sz="0" w:space="0" w:color="auto"/>
        <w:right w:val="none" w:sz="0" w:space="0" w:color="auto"/>
      </w:divBdr>
    </w:div>
    <w:div w:id="1987200398">
      <w:bodyDiv w:val="1"/>
      <w:marLeft w:val="0"/>
      <w:marRight w:val="0"/>
      <w:marTop w:val="0"/>
      <w:marBottom w:val="0"/>
      <w:divBdr>
        <w:top w:val="none" w:sz="0" w:space="0" w:color="auto"/>
        <w:left w:val="none" w:sz="0" w:space="0" w:color="auto"/>
        <w:bottom w:val="none" w:sz="0" w:space="0" w:color="auto"/>
        <w:right w:val="none" w:sz="0" w:space="0" w:color="auto"/>
      </w:divBdr>
    </w:div>
    <w:div w:id="2026639110">
      <w:bodyDiv w:val="1"/>
      <w:marLeft w:val="0"/>
      <w:marRight w:val="0"/>
      <w:marTop w:val="0"/>
      <w:marBottom w:val="0"/>
      <w:divBdr>
        <w:top w:val="none" w:sz="0" w:space="0" w:color="auto"/>
        <w:left w:val="none" w:sz="0" w:space="0" w:color="auto"/>
        <w:bottom w:val="none" w:sz="0" w:space="0" w:color="auto"/>
        <w:right w:val="none" w:sz="0" w:space="0" w:color="auto"/>
      </w:divBdr>
    </w:div>
    <w:div w:id="2036075747">
      <w:bodyDiv w:val="1"/>
      <w:marLeft w:val="0"/>
      <w:marRight w:val="0"/>
      <w:marTop w:val="0"/>
      <w:marBottom w:val="0"/>
      <w:divBdr>
        <w:top w:val="none" w:sz="0" w:space="0" w:color="auto"/>
        <w:left w:val="none" w:sz="0" w:space="0" w:color="auto"/>
        <w:bottom w:val="none" w:sz="0" w:space="0" w:color="auto"/>
        <w:right w:val="none" w:sz="0" w:space="0" w:color="auto"/>
      </w:divBdr>
    </w:div>
    <w:div w:id="2040429562">
      <w:bodyDiv w:val="1"/>
      <w:marLeft w:val="0"/>
      <w:marRight w:val="0"/>
      <w:marTop w:val="0"/>
      <w:marBottom w:val="0"/>
      <w:divBdr>
        <w:top w:val="none" w:sz="0" w:space="0" w:color="auto"/>
        <w:left w:val="none" w:sz="0" w:space="0" w:color="auto"/>
        <w:bottom w:val="none" w:sz="0" w:space="0" w:color="auto"/>
        <w:right w:val="none" w:sz="0" w:space="0" w:color="auto"/>
      </w:divBdr>
    </w:div>
    <w:div w:id="2071610301">
      <w:bodyDiv w:val="1"/>
      <w:marLeft w:val="0"/>
      <w:marRight w:val="0"/>
      <w:marTop w:val="0"/>
      <w:marBottom w:val="0"/>
      <w:divBdr>
        <w:top w:val="none" w:sz="0" w:space="0" w:color="auto"/>
        <w:left w:val="none" w:sz="0" w:space="0" w:color="auto"/>
        <w:bottom w:val="none" w:sz="0" w:space="0" w:color="auto"/>
        <w:right w:val="none" w:sz="0" w:space="0" w:color="auto"/>
      </w:divBdr>
    </w:div>
    <w:div w:id="2075854186">
      <w:bodyDiv w:val="1"/>
      <w:marLeft w:val="0"/>
      <w:marRight w:val="0"/>
      <w:marTop w:val="0"/>
      <w:marBottom w:val="0"/>
      <w:divBdr>
        <w:top w:val="none" w:sz="0" w:space="0" w:color="auto"/>
        <w:left w:val="none" w:sz="0" w:space="0" w:color="auto"/>
        <w:bottom w:val="none" w:sz="0" w:space="0" w:color="auto"/>
        <w:right w:val="none" w:sz="0" w:space="0" w:color="auto"/>
      </w:divBdr>
    </w:div>
    <w:div w:id="2107995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erc.com/page.php?cid=2|20"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EA17A4-BC1A-4B39-8EC5-2300B4A66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7661</Words>
  <Characters>43669</Characters>
  <Application>Microsoft Office Word</Application>
  <DocSecurity>0</DocSecurity>
  <Lines>363</Lines>
  <Paragraphs>102</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RSAW, CIP-002-3 </vt:lpstr>
      <vt:lpstr>Subject Matter Experts</vt:lpstr>
      <vt:lpstr>Supporting Evidence and Documentation</vt:lpstr>
      <vt:lpstr>Reliability Standard Language</vt:lpstr>
      <vt:lpstr>Supplemental Information</vt:lpstr>
      <vt:lpstr>Compliance Findings Summary (to be filled out by auditor)</vt:lpstr>
    </vt:vector>
  </TitlesOfParts>
  <Company>NERC</Company>
  <LinksUpToDate>false</LinksUpToDate>
  <CharactersWithSpaces>51228</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RSAW, CIP-002-3 </dc:title>
  <dc:subject/>
  <dc:creator>CIP team</dc:creator>
  <cp:keywords/>
  <dc:description/>
  <cp:lastModifiedBy>Andrei Lozovik</cp:lastModifiedBy>
  <cp:revision>3</cp:revision>
  <dcterms:created xsi:type="dcterms:W3CDTF">2013-09-25T18:41:00Z</dcterms:created>
  <dcterms:modified xsi:type="dcterms:W3CDTF">2013-10-18T20:13:00Z</dcterms:modified>
</cp:coreProperties>
</file>